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D5F69E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7D1E56">
              <w:rPr>
                <w:rFonts w:cs="Arial"/>
                <w:sz w:val="24"/>
                <w:szCs w:val="24"/>
              </w:rPr>
              <w:t>7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030E5D75" w14:textId="1476B8A9" w:rsidR="008730BC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2996F833" w14:textId="69F2D01F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</w:p>
    <w:p w14:paraId="2327262E" w14:textId="55D0BEEA" w:rsidR="00383EE0" w:rsidRPr="00DD7897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Phase_</w:t>
      </w:r>
      <w:r w:rsidR="00197975">
        <w:rPr>
          <w:rFonts w:ascii="Arial" w:hAnsi="Arial" w:cs="Arial"/>
          <w:color w:val="0000FF"/>
        </w:rPr>
        <w:t>2.jar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1C4A502F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6877F5" w:rsidRDefault="00197975" w:rsidP="006877F5">
      <w:pPr>
        <w:pStyle w:val="BodyText"/>
        <w:ind w:left="0"/>
      </w:pPr>
      <w: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70AD8EB" w14:textId="13FDAD15" w:rsidR="00197975" w:rsidRPr="00197975" w:rsidRDefault="00197975" w:rsidP="00197975">
      <w:pPr>
        <w:pStyle w:val="BodyText"/>
        <w:ind w:left="0"/>
      </w:pPr>
      <w:r>
        <w:t>Call ISUD SPROC from UI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5D0FAD4E" w:rsidR="00197975" w:rsidRPr="00197975" w:rsidRDefault="00197975" w:rsidP="00197975">
      <w:pPr>
        <w:pStyle w:val="BodyText"/>
        <w:ind w:left="0"/>
      </w:pPr>
      <w:r>
        <w:t xml:space="preserve">ISUD: WR User, </w:t>
      </w:r>
      <w:proofErr w:type="spellStart"/>
      <w:r>
        <w:t>WRProjectInfo</w:t>
      </w:r>
      <w:proofErr w:type="spellEnd"/>
      <w:r>
        <w:t xml:space="preserve">, </w:t>
      </w:r>
      <w:proofErr w:type="spellStart"/>
      <w:r>
        <w:t>WRWorkRequest</w:t>
      </w:r>
      <w:proofErr w:type="spellEnd"/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185D02D7" w:rsidR="00197975" w:rsidRPr="00197975" w:rsidRDefault="00197975" w:rsidP="00197975">
      <w:pPr>
        <w:pStyle w:val="BodyText"/>
        <w:ind w:left="0"/>
      </w:pPr>
      <w:r>
        <w:t>20211205: Team Sync. Minimum 4 hours.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24C160A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070C57">
        <w:rPr>
          <w:noProof/>
        </w:rPr>
        <w:drawing>
          <wp:inline distT="0" distB="0" distL="0" distR="0" wp14:anchorId="29A5CF0B" wp14:editId="2E410320">
            <wp:extent cx="4528993" cy="46094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46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B30B989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47000</w:t>
            </w:r>
          </w:p>
        </w:tc>
        <w:tc>
          <w:tcPr>
            <w:tcW w:w="1031" w:type="dxa"/>
            <w:shd w:val="clear" w:color="auto" w:fill="auto"/>
          </w:tcPr>
          <w:p w14:paraId="273FA14A" w14:textId="7F67A39C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42500</w:t>
            </w:r>
          </w:p>
        </w:tc>
        <w:tc>
          <w:tcPr>
            <w:tcW w:w="1315" w:type="dxa"/>
            <w:shd w:val="clear" w:color="auto" w:fill="auto"/>
          </w:tcPr>
          <w:p w14:paraId="4F1B6DDF" w14:textId="4A0D7255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50625</w:t>
            </w:r>
          </w:p>
        </w:tc>
        <w:tc>
          <w:tcPr>
            <w:tcW w:w="900" w:type="dxa"/>
            <w:shd w:val="clear" w:color="auto" w:fill="auto"/>
          </w:tcPr>
          <w:p w14:paraId="6A52E39E" w14:textId="5988A47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6125</w:t>
            </w:r>
          </w:p>
        </w:tc>
        <w:tc>
          <w:tcPr>
            <w:tcW w:w="1080" w:type="dxa"/>
            <w:shd w:val="clear" w:color="auto" w:fill="auto"/>
          </w:tcPr>
          <w:p w14:paraId="08F31BEA" w14:textId="5FD56F20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3625</w:t>
            </w:r>
          </w:p>
        </w:tc>
        <w:tc>
          <w:tcPr>
            <w:tcW w:w="900" w:type="dxa"/>
            <w:shd w:val="clear" w:color="auto" w:fill="auto"/>
          </w:tcPr>
          <w:p w14:paraId="7182889E" w14:textId="32FAD4FE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1.19</w:t>
            </w:r>
          </w:p>
        </w:tc>
        <w:tc>
          <w:tcPr>
            <w:tcW w:w="961" w:type="dxa"/>
          </w:tcPr>
          <w:p w14:paraId="37C00079" w14:textId="7C547813" w:rsidR="006C4A24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789521E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56667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08B7D73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1F5A3222" w14:textId="562FBDA6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62420902" w14:textId="3C59A585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A607695" w14:textId="4EF23149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77777777" w:rsidR="00701426" w:rsidRPr="008C3865" w:rsidRDefault="00701426" w:rsidP="00701426">
            <w:pPr>
              <w:pStyle w:val="TableText"/>
              <w:keepNext/>
            </w:pPr>
            <w:r>
              <w:t>Work with Team members to gauge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0F05FC4A" w:rsidR="004B1AC9" w:rsidRPr="008C3865" w:rsidRDefault="004B1AC9" w:rsidP="004B1AC9">
            <w:pPr>
              <w:pStyle w:val="TableText"/>
              <w:keepNext/>
            </w:pPr>
            <w:r>
              <w:t>Research new terms. Provide COAs.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8742" w14:textId="77777777" w:rsidR="006244B3" w:rsidRDefault="006244B3">
      <w:r>
        <w:separator/>
      </w:r>
    </w:p>
  </w:endnote>
  <w:endnote w:type="continuationSeparator" w:id="0">
    <w:p w14:paraId="15BA8726" w14:textId="77777777" w:rsidR="006244B3" w:rsidRDefault="0062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E3EE" w14:textId="77777777" w:rsidR="006244B3" w:rsidRDefault="006244B3">
      <w:r>
        <w:separator/>
      </w:r>
    </w:p>
  </w:footnote>
  <w:footnote w:type="continuationSeparator" w:id="0">
    <w:p w14:paraId="6EFEA387" w14:textId="77777777" w:rsidR="006244B3" w:rsidRDefault="0062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47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13</cp:revision>
  <cp:lastPrinted>2008-08-12T14:43:00Z</cp:lastPrinted>
  <dcterms:created xsi:type="dcterms:W3CDTF">2021-11-14T16:51:00Z</dcterms:created>
  <dcterms:modified xsi:type="dcterms:W3CDTF">2021-12-05T16:01:00Z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