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EEFFE" w14:textId="77777777" w:rsidR="00731039" w:rsidRDefault="001745C9" w:rsidP="001745C9">
      <w:pPr>
        <w:pStyle w:val="Title"/>
        <w:rPr>
          <w:lang w:val="en-GB"/>
        </w:rPr>
      </w:pPr>
      <w:r>
        <w:rPr>
          <w:lang w:val="en-GB"/>
        </w:rPr>
        <w:t>Summary of work</w:t>
      </w:r>
      <w:r w:rsidR="00731039">
        <w:rPr>
          <w:lang w:val="en-GB"/>
        </w:rPr>
        <w:t xml:space="preserve"> </w:t>
      </w:r>
    </w:p>
    <w:p w14:paraId="5B2FA999" w14:textId="126EAB48" w:rsidR="00DD4F56" w:rsidRDefault="00431B66" w:rsidP="00731039">
      <w:pPr>
        <w:pStyle w:val="Subtitle"/>
      </w:pPr>
      <w:r w:rsidRPr="00EB0E72">
        <w:t xml:space="preserve">Artur van Bemmelen, period of </w:t>
      </w:r>
      <w:r w:rsidR="00731039" w:rsidRPr="00EB0E72">
        <w:t>June-October 2021</w:t>
      </w:r>
    </w:p>
    <w:p w14:paraId="58EAE914" w14:textId="77777777" w:rsidR="00435A61" w:rsidRPr="00435A61" w:rsidRDefault="00435A61" w:rsidP="00435A61"/>
    <w:sdt>
      <w:sdtPr>
        <w:rPr>
          <w:rFonts w:asciiTheme="minorHAnsi" w:eastAsiaTheme="minorEastAsia" w:hAnsiTheme="minorHAnsi" w:cstheme="minorBidi"/>
          <w:color w:val="auto"/>
          <w:sz w:val="21"/>
          <w:szCs w:val="21"/>
        </w:rPr>
        <w:id w:val="-1666618257"/>
        <w:docPartObj>
          <w:docPartGallery w:val="Table of Contents"/>
          <w:docPartUnique/>
        </w:docPartObj>
      </w:sdtPr>
      <w:sdtEndPr>
        <w:rPr>
          <w:b/>
          <w:bCs/>
          <w:noProof/>
        </w:rPr>
      </w:sdtEndPr>
      <w:sdtContent>
        <w:p w14:paraId="4B0D4917" w14:textId="69653AF6" w:rsidR="00435A61" w:rsidRDefault="00435A61">
          <w:pPr>
            <w:pStyle w:val="TOCHeading"/>
          </w:pPr>
          <w:r>
            <w:t>Contents</w:t>
          </w:r>
        </w:p>
        <w:p w14:paraId="6B93D8F1" w14:textId="77777777" w:rsidR="00AA3132" w:rsidRPr="00AA3132" w:rsidRDefault="00AA3132" w:rsidP="00AA3132"/>
        <w:p w14:paraId="7BD16E84" w14:textId="6C2433C0" w:rsidR="00435A61" w:rsidRDefault="00435A61">
          <w:pPr>
            <w:pStyle w:val="TOC1"/>
            <w:tabs>
              <w:tab w:val="right" w:leader="dot" w:pos="9350"/>
            </w:tabs>
            <w:rPr>
              <w:noProof/>
              <w:sz w:val="22"/>
              <w:szCs w:val="22"/>
              <w:lang w:val="en-NL" w:eastAsia="en-NL"/>
            </w:rPr>
          </w:pPr>
          <w:r>
            <w:fldChar w:fldCharType="begin"/>
          </w:r>
          <w:r>
            <w:instrText xml:space="preserve"> TOC \o "1-3" \h \z \u </w:instrText>
          </w:r>
          <w:r>
            <w:fldChar w:fldCharType="separate"/>
          </w:r>
          <w:hyperlink w:anchor="_Toc86911054" w:history="1">
            <w:r w:rsidRPr="003E6D3A">
              <w:rPr>
                <w:rStyle w:val="Hyperlink"/>
                <w:noProof/>
                <w:lang w:val="en-GB"/>
              </w:rPr>
              <w:t>Jupyter notebooks and output</w:t>
            </w:r>
            <w:r>
              <w:rPr>
                <w:noProof/>
                <w:webHidden/>
              </w:rPr>
              <w:tab/>
            </w:r>
            <w:r>
              <w:rPr>
                <w:noProof/>
                <w:webHidden/>
              </w:rPr>
              <w:fldChar w:fldCharType="begin"/>
            </w:r>
            <w:r>
              <w:rPr>
                <w:noProof/>
                <w:webHidden/>
              </w:rPr>
              <w:instrText xml:space="preserve"> PAGEREF _Toc86911054 \h </w:instrText>
            </w:r>
            <w:r>
              <w:rPr>
                <w:noProof/>
                <w:webHidden/>
              </w:rPr>
            </w:r>
            <w:r>
              <w:rPr>
                <w:noProof/>
                <w:webHidden/>
              </w:rPr>
              <w:fldChar w:fldCharType="separate"/>
            </w:r>
            <w:r w:rsidR="00EE137B">
              <w:rPr>
                <w:noProof/>
                <w:webHidden/>
              </w:rPr>
              <w:t>1</w:t>
            </w:r>
            <w:r>
              <w:rPr>
                <w:noProof/>
                <w:webHidden/>
              </w:rPr>
              <w:fldChar w:fldCharType="end"/>
            </w:r>
          </w:hyperlink>
        </w:p>
        <w:p w14:paraId="2C89C4FA" w14:textId="59CC141D" w:rsidR="00435A61" w:rsidRDefault="00B604BF">
          <w:pPr>
            <w:pStyle w:val="TOC1"/>
            <w:tabs>
              <w:tab w:val="right" w:leader="dot" w:pos="9350"/>
            </w:tabs>
            <w:rPr>
              <w:noProof/>
              <w:sz w:val="22"/>
              <w:szCs w:val="22"/>
              <w:lang w:val="en-NL" w:eastAsia="en-NL"/>
            </w:rPr>
          </w:pPr>
          <w:hyperlink w:anchor="_Toc86911055" w:history="1">
            <w:r w:rsidR="00435A61" w:rsidRPr="003E6D3A">
              <w:rPr>
                <w:rStyle w:val="Hyperlink"/>
                <w:noProof/>
                <w:lang w:val="en-GB"/>
              </w:rPr>
              <w:t>Data management</w:t>
            </w:r>
            <w:r w:rsidR="00435A61">
              <w:rPr>
                <w:noProof/>
                <w:webHidden/>
              </w:rPr>
              <w:tab/>
            </w:r>
            <w:r w:rsidR="00435A61">
              <w:rPr>
                <w:noProof/>
                <w:webHidden/>
              </w:rPr>
              <w:fldChar w:fldCharType="begin"/>
            </w:r>
            <w:r w:rsidR="00435A61">
              <w:rPr>
                <w:noProof/>
                <w:webHidden/>
              </w:rPr>
              <w:instrText xml:space="preserve"> PAGEREF _Toc86911055 \h </w:instrText>
            </w:r>
            <w:r w:rsidR="00435A61">
              <w:rPr>
                <w:noProof/>
                <w:webHidden/>
              </w:rPr>
            </w:r>
            <w:r w:rsidR="00435A61">
              <w:rPr>
                <w:noProof/>
                <w:webHidden/>
              </w:rPr>
              <w:fldChar w:fldCharType="separate"/>
            </w:r>
            <w:r w:rsidR="00EE137B">
              <w:rPr>
                <w:noProof/>
                <w:webHidden/>
              </w:rPr>
              <w:t>4</w:t>
            </w:r>
            <w:r w:rsidR="00435A61">
              <w:rPr>
                <w:noProof/>
                <w:webHidden/>
              </w:rPr>
              <w:fldChar w:fldCharType="end"/>
            </w:r>
          </w:hyperlink>
        </w:p>
        <w:p w14:paraId="3C566A96" w14:textId="17052432" w:rsidR="00435A61" w:rsidRPr="00684E4A" w:rsidRDefault="00B604BF">
          <w:pPr>
            <w:pStyle w:val="TOC2"/>
            <w:tabs>
              <w:tab w:val="right" w:leader="dot" w:pos="9350"/>
            </w:tabs>
            <w:rPr>
              <w:noProof/>
              <w:sz w:val="22"/>
              <w:szCs w:val="22"/>
              <w:lang w:val="en-NL" w:eastAsia="en-NL"/>
            </w:rPr>
          </w:pPr>
          <w:hyperlink w:anchor="_Toc86911056" w:history="1">
            <w:r w:rsidR="00435A61" w:rsidRPr="00684E4A">
              <w:rPr>
                <w:rStyle w:val="Hyperlink"/>
                <w:noProof/>
                <w:color w:val="auto"/>
                <w:lang w:val="en-GB"/>
              </w:rPr>
              <w:t>Input files</w:t>
            </w:r>
            <w:r w:rsidR="00435A61" w:rsidRPr="00684E4A">
              <w:rPr>
                <w:noProof/>
                <w:webHidden/>
              </w:rPr>
              <w:tab/>
            </w:r>
            <w:r w:rsidR="00435A61" w:rsidRPr="00684E4A">
              <w:rPr>
                <w:noProof/>
                <w:webHidden/>
              </w:rPr>
              <w:fldChar w:fldCharType="begin"/>
            </w:r>
            <w:r w:rsidR="00435A61" w:rsidRPr="00684E4A">
              <w:rPr>
                <w:noProof/>
                <w:webHidden/>
              </w:rPr>
              <w:instrText xml:space="preserve"> PAGEREF _Toc86911056 \h </w:instrText>
            </w:r>
            <w:r w:rsidR="00435A61" w:rsidRPr="00684E4A">
              <w:rPr>
                <w:noProof/>
                <w:webHidden/>
              </w:rPr>
            </w:r>
            <w:r w:rsidR="00435A61" w:rsidRPr="00684E4A">
              <w:rPr>
                <w:noProof/>
                <w:webHidden/>
              </w:rPr>
              <w:fldChar w:fldCharType="separate"/>
            </w:r>
            <w:r w:rsidR="00EE137B">
              <w:rPr>
                <w:noProof/>
                <w:webHidden/>
              </w:rPr>
              <w:t>4</w:t>
            </w:r>
            <w:r w:rsidR="00435A61" w:rsidRPr="00684E4A">
              <w:rPr>
                <w:noProof/>
                <w:webHidden/>
              </w:rPr>
              <w:fldChar w:fldCharType="end"/>
            </w:r>
          </w:hyperlink>
        </w:p>
        <w:p w14:paraId="5A43C612" w14:textId="2BBD51FC" w:rsidR="00435A61" w:rsidRPr="00684E4A" w:rsidRDefault="00B604BF">
          <w:pPr>
            <w:pStyle w:val="TOC2"/>
            <w:tabs>
              <w:tab w:val="right" w:leader="dot" w:pos="9350"/>
            </w:tabs>
            <w:rPr>
              <w:noProof/>
              <w:sz w:val="22"/>
              <w:szCs w:val="22"/>
              <w:lang w:val="en-NL" w:eastAsia="en-NL"/>
            </w:rPr>
          </w:pPr>
          <w:hyperlink w:anchor="_Toc86911057" w:history="1">
            <w:r w:rsidR="00435A61" w:rsidRPr="00684E4A">
              <w:rPr>
                <w:rStyle w:val="Hyperlink"/>
                <w:noProof/>
                <w:color w:val="auto"/>
                <w:lang w:val="en-GB"/>
              </w:rPr>
              <w:t>Intermediate files</w:t>
            </w:r>
            <w:r w:rsidR="00435A61" w:rsidRPr="00684E4A">
              <w:rPr>
                <w:noProof/>
                <w:webHidden/>
              </w:rPr>
              <w:tab/>
            </w:r>
            <w:r w:rsidR="00435A61" w:rsidRPr="00684E4A">
              <w:rPr>
                <w:noProof/>
                <w:webHidden/>
              </w:rPr>
              <w:fldChar w:fldCharType="begin"/>
            </w:r>
            <w:r w:rsidR="00435A61" w:rsidRPr="00684E4A">
              <w:rPr>
                <w:noProof/>
                <w:webHidden/>
              </w:rPr>
              <w:instrText xml:space="preserve"> PAGEREF _Toc86911057 \h </w:instrText>
            </w:r>
            <w:r w:rsidR="00435A61" w:rsidRPr="00684E4A">
              <w:rPr>
                <w:noProof/>
                <w:webHidden/>
              </w:rPr>
            </w:r>
            <w:r w:rsidR="00435A61" w:rsidRPr="00684E4A">
              <w:rPr>
                <w:noProof/>
                <w:webHidden/>
              </w:rPr>
              <w:fldChar w:fldCharType="separate"/>
            </w:r>
            <w:r w:rsidR="00EE137B">
              <w:rPr>
                <w:noProof/>
                <w:webHidden/>
              </w:rPr>
              <w:t>4</w:t>
            </w:r>
            <w:r w:rsidR="00435A61" w:rsidRPr="00684E4A">
              <w:rPr>
                <w:noProof/>
                <w:webHidden/>
              </w:rPr>
              <w:fldChar w:fldCharType="end"/>
            </w:r>
          </w:hyperlink>
        </w:p>
        <w:p w14:paraId="7512889D" w14:textId="080B0E80" w:rsidR="00435A61" w:rsidRPr="00684E4A" w:rsidRDefault="00B604BF">
          <w:pPr>
            <w:pStyle w:val="TOC2"/>
            <w:tabs>
              <w:tab w:val="right" w:leader="dot" w:pos="9350"/>
            </w:tabs>
            <w:rPr>
              <w:noProof/>
              <w:sz w:val="22"/>
              <w:szCs w:val="22"/>
              <w:lang w:val="en-NL" w:eastAsia="en-NL"/>
            </w:rPr>
          </w:pPr>
          <w:hyperlink w:anchor="_Toc86911058" w:history="1">
            <w:r w:rsidR="00435A61" w:rsidRPr="00684E4A">
              <w:rPr>
                <w:rStyle w:val="Hyperlink"/>
                <w:noProof/>
                <w:color w:val="auto"/>
                <w:lang w:val="en-GB"/>
              </w:rPr>
              <w:t>Presentations</w:t>
            </w:r>
            <w:r w:rsidR="00435A61" w:rsidRPr="00684E4A">
              <w:rPr>
                <w:noProof/>
                <w:webHidden/>
              </w:rPr>
              <w:tab/>
            </w:r>
            <w:r w:rsidR="00435A61" w:rsidRPr="00684E4A">
              <w:rPr>
                <w:noProof/>
                <w:webHidden/>
              </w:rPr>
              <w:fldChar w:fldCharType="begin"/>
            </w:r>
            <w:r w:rsidR="00435A61" w:rsidRPr="00684E4A">
              <w:rPr>
                <w:noProof/>
                <w:webHidden/>
              </w:rPr>
              <w:instrText xml:space="preserve"> PAGEREF _Toc86911058 \h </w:instrText>
            </w:r>
            <w:r w:rsidR="00435A61" w:rsidRPr="00684E4A">
              <w:rPr>
                <w:noProof/>
                <w:webHidden/>
              </w:rPr>
            </w:r>
            <w:r w:rsidR="00435A61" w:rsidRPr="00684E4A">
              <w:rPr>
                <w:noProof/>
                <w:webHidden/>
              </w:rPr>
              <w:fldChar w:fldCharType="separate"/>
            </w:r>
            <w:r w:rsidR="00EE137B">
              <w:rPr>
                <w:noProof/>
                <w:webHidden/>
              </w:rPr>
              <w:t>4</w:t>
            </w:r>
            <w:r w:rsidR="00435A61" w:rsidRPr="00684E4A">
              <w:rPr>
                <w:noProof/>
                <w:webHidden/>
              </w:rPr>
              <w:fldChar w:fldCharType="end"/>
            </w:r>
          </w:hyperlink>
        </w:p>
        <w:p w14:paraId="6D83990C" w14:textId="6C93429D" w:rsidR="00AA3132" w:rsidRPr="00AA3132" w:rsidRDefault="00435A61" w:rsidP="00AA3132">
          <w:r>
            <w:rPr>
              <w:b/>
              <w:bCs/>
              <w:noProof/>
            </w:rPr>
            <w:fldChar w:fldCharType="end"/>
          </w:r>
        </w:p>
      </w:sdtContent>
    </w:sdt>
    <w:bookmarkStart w:id="0" w:name="_Toc86911054" w:displacedByCustomXml="prev"/>
    <w:p w14:paraId="61C0969B" w14:textId="480A3310" w:rsidR="001745C9" w:rsidRDefault="001745C9" w:rsidP="00AA3132">
      <w:pPr>
        <w:pStyle w:val="Heading1"/>
        <w:rPr>
          <w:lang w:val="en-GB"/>
        </w:rPr>
      </w:pPr>
      <w:r>
        <w:rPr>
          <w:lang w:val="en-GB"/>
        </w:rPr>
        <w:t>Jupyter notebooks</w:t>
      </w:r>
      <w:r w:rsidR="00125EB9">
        <w:rPr>
          <w:lang w:val="en-GB"/>
        </w:rPr>
        <w:t xml:space="preserve"> and output</w:t>
      </w:r>
      <w:bookmarkEnd w:id="0"/>
    </w:p>
    <w:p w14:paraId="00EEEF76" w14:textId="77777777" w:rsidR="00AA3132" w:rsidRPr="00AA3132" w:rsidRDefault="00AA3132" w:rsidP="00AA3132">
      <w:pPr>
        <w:rPr>
          <w:lang w:val="en-GB"/>
        </w:rPr>
      </w:pPr>
    </w:p>
    <w:p w14:paraId="268D54E8" w14:textId="77777777" w:rsidR="0029694D" w:rsidRDefault="00125EB9" w:rsidP="0029694D">
      <w:pPr>
        <w:rPr>
          <w:lang w:val="en-GB"/>
        </w:rPr>
      </w:pPr>
      <w:r>
        <w:rPr>
          <w:lang w:val="en-GB"/>
        </w:rPr>
        <w:t>Notebooks are l</w:t>
      </w:r>
      <w:r w:rsidR="00355B28">
        <w:rPr>
          <w:lang w:val="en-GB"/>
        </w:rPr>
        <w:t xml:space="preserve">ocated on Github: </w:t>
      </w:r>
      <w:hyperlink r:id="rId6" w:history="1">
        <w:r w:rsidRPr="00B00F8D">
          <w:rPr>
            <w:rStyle w:val="Hyperlink"/>
            <w:lang w:val="en-GB"/>
          </w:rPr>
          <w:t>https://github.com/iomega/mass-spectral-embeddings-visualization</w:t>
        </w:r>
      </w:hyperlink>
      <w:r>
        <w:rPr>
          <w:lang w:val="en-GB"/>
        </w:rPr>
        <w:br/>
        <w:t>Output files are located on the server: /mnt/LTR_userdata/hooft001/mass_spectral_embeddings/embeddings/ALL_GNPS_210409_positive/</w:t>
      </w:r>
    </w:p>
    <w:p w14:paraId="522F0F11" w14:textId="77777777" w:rsidR="0029694D" w:rsidRDefault="0029694D" w:rsidP="0029694D">
      <w:pPr>
        <w:rPr>
          <w:lang w:val="en-GB"/>
        </w:rPr>
      </w:pPr>
    </w:p>
    <w:p w14:paraId="16C73EC3" w14:textId="16FF10AA" w:rsidR="00125EB9" w:rsidRDefault="00734684" w:rsidP="0029694D">
      <w:pPr>
        <w:ind w:firstLine="720"/>
        <w:rPr>
          <w:b/>
          <w:bCs/>
          <w:lang w:val="en-GB"/>
        </w:rPr>
      </w:pPr>
      <w:r w:rsidRPr="00125EB9">
        <w:rPr>
          <w:b/>
          <w:bCs/>
          <w:lang w:val="en-GB"/>
        </w:rPr>
        <w:t>t-SNE and UMAP comparison.ipynb</w:t>
      </w:r>
    </w:p>
    <w:p w14:paraId="3B72B072" w14:textId="670BC8B2" w:rsidR="009C3587" w:rsidRDefault="00125EB9" w:rsidP="00125EB9">
      <w:pPr>
        <w:rPr>
          <w:lang w:val="en-GB"/>
        </w:rPr>
      </w:pPr>
      <w:r>
        <w:rPr>
          <w:lang w:val="en-GB"/>
        </w:rPr>
        <w:t>A first glance at UMAP and t-SNE, in particular a t-SNE produced by Joris Louwen.</w:t>
      </w:r>
      <w:r w:rsidR="0029694D">
        <w:rPr>
          <w:lang w:val="en-GB"/>
        </w:rPr>
        <w:t xml:space="preserve"> The UMAPs were made with only 15 neighbours. Later work suggests that 50 neighbors is a much better starting point for a dataset of this size and complexity. The best feature of this notebook is the code for “coupled” interactive plots, where two or more interactive plots are controlled with the same legend. </w:t>
      </w:r>
    </w:p>
    <w:p w14:paraId="62DFC8B4" w14:textId="77777777" w:rsidR="0029694D" w:rsidRPr="0029694D" w:rsidRDefault="0029694D" w:rsidP="00125EB9">
      <w:pPr>
        <w:rPr>
          <w:lang w:val="en-GB"/>
        </w:rPr>
      </w:pPr>
    </w:p>
    <w:p w14:paraId="297026BD" w14:textId="7261D9B0" w:rsidR="001745C9" w:rsidRDefault="001745C9" w:rsidP="0029694D">
      <w:pPr>
        <w:ind w:firstLine="720"/>
        <w:rPr>
          <w:b/>
          <w:bCs/>
          <w:lang w:val="en-GB"/>
        </w:rPr>
      </w:pPr>
      <w:r w:rsidRPr="00125EB9">
        <w:rPr>
          <w:b/>
          <w:bCs/>
          <w:lang w:val="en-GB"/>
        </w:rPr>
        <w:t>Instrument type comparison.ipynb</w:t>
      </w:r>
    </w:p>
    <w:p w14:paraId="2EE91EF6" w14:textId="3E4222E0" w:rsidR="0029694D" w:rsidRDefault="0029694D" w:rsidP="0029694D">
      <w:pPr>
        <w:rPr>
          <w:lang w:val="en-GB"/>
        </w:rPr>
      </w:pPr>
      <w:r>
        <w:rPr>
          <w:lang w:val="en-GB"/>
        </w:rPr>
        <w:t xml:space="preserve">This notebook takes a look at how spectra with the same planar inchikey that are measured by different instrument types, are embedded in t-SNE. I distinguish between HCD, CID, qToF, and Orbitrap. The embeddings of HCD Velos and CID Velos instruments are strikingly similar in my t-SNE embeddings, but differ in the 21/7 t-SNE embedding by Joris Louwen. </w:t>
      </w:r>
    </w:p>
    <w:p w14:paraId="0A40B6D5" w14:textId="77777777" w:rsidR="00C931EB" w:rsidRDefault="00C931EB" w:rsidP="0029694D">
      <w:pPr>
        <w:rPr>
          <w:lang w:val="en-GB"/>
        </w:rPr>
      </w:pPr>
    </w:p>
    <w:p w14:paraId="2CAB4E01" w14:textId="77777777" w:rsidR="00C931EB" w:rsidRDefault="00C931EB" w:rsidP="00C931EB">
      <w:pPr>
        <w:ind w:firstLine="720"/>
        <w:rPr>
          <w:b/>
          <w:bCs/>
          <w:lang w:val="en-GB"/>
        </w:rPr>
      </w:pPr>
      <w:r w:rsidRPr="00125EB9">
        <w:rPr>
          <w:b/>
          <w:bCs/>
          <w:lang w:val="en-GB"/>
        </w:rPr>
        <w:t>Jaccard similarity per classification group.ipynb</w:t>
      </w:r>
    </w:p>
    <w:p w14:paraId="42DC4784" w14:textId="77777777" w:rsidR="00C931EB" w:rsidRPr="0029694D" w:rsidRDefault="00C931EB" w:rsidP="00C931EB">
      <w:pPr>
        <w:rPr>
          <w:lang w:val="en-GB"/>
        </w:rPr>
      </w:pPr>
      <w:r w:rsidRPr="0029694D">
        <w:rPr>
          <w:lang w:val="en-GB"/>
        </w:rPr>
        <w:t xml:space="preserve">To gain </w:t>
      </w:r>
      <w:r>
        <w:rPr>
          <w:lang w:val="en-GB"/>
        </w:rPr>
        <w:t xml:space="preserve">an understanding of which groups may be expected to cluster together in embeddings, I computed the internal Jaccard similarity per class and classifier. As was to be expected, classification at subclass level resulted in classes with more internal similarity, whereas internal similarity decreased at superclass level. NPClassifier classes stood out as the classifier and class level where most spectra were classified into “high similarity” classes. </w:t>
      </w:r>
    </w:p>
    <w:p w14:paraId="675B8D21" w14:textId="6FB2B97B" w:rsidR="00C931EB" w:rsidRPr="009C3587" w:rsidRDefault="00C931EB" w:rsidP="00C931EB">
      <w:pPr>
        <w:rPr>
          <w:lang w:val="en-GB"/>
        </w:rPr>
      </w:pPr>
      <w:r w:rsidRPr="00731542">
        <w:rPr>
          <w:lang w:val="en-GB"/>
        </w:rPr>
        <w:t>Internal jaccard similarity per classification group</w:t>
      </w:r>
      <w:r>
        <w:rPr>
          <w:lang w:val="en-GB"/>
        </w:rPr>
        <w:t>.csv</w:t>
      </w:r>
    </w:p>
    <w:p w14:paraId="7E8D60DC" w14:textId="77777777" w:rsidR="009C3587" w:rsidRPr="00125EB9" w:rsidRDefault="009C3587" w:rsidP="00125EB9">
      <w:pPr>
        <w:rPr>
          <w:b/>
          <w:bCs/>
          <w:lang w:val="en-GB"/>
        </w:rPr>
      </w:pPr>
    </w:p>
    <w:p w14:paraId="17F439CB" w14:textId="3682950D" w:rsidR="001745C9" w:rsidRDefault="001745C9" w:rsidP="0029694D">
      <w:pPr>
        <w:ind w:firstLine="720"/>
        <w:rPr>
          <w:b/>
          <w:bCs/>
          <w:lang w:val="en-GB"/>
        </w:rPr>
      </w:pPr>
      <w:r w:rsidRPr="00125EB9">
        <w:rPr>
          <w:b/>
          <w:bCs/>
          <w:lang w:val="en-GB"/>
        </w:rPr>
        <w:t>Jaccard similarity between groups.ipynb</w:t>
      </w:r>
    </w:p>
    <w:p w14:paraId="61255D5E" w14:textId="77777777" w:rsidR="00DB48F6" w:rsidRDefault="00C931EB" w:rsidP="00125EB9">
      <w:pPr>
        <w:rPr>
          <w:lang w:val="en-GB"/>
        </w:rPr>
      </w:pPr>
      <w:r w:rsidRPr="00C931EB">
        <w:rPr>
          <w:lang w:val="en-GB"/>
        </w:rPr>
        <w:t>To complement the notebook ‘Jaccard similarity per classification group’</w:t>
      </w:r>
      <w:r>
        <w:rPr>
          <w:lang w:val="en-GB"/>
        </w:rPr>
        <w:t>, I computed the similarity between classes of the same classifier to quantify the distinctness of each class. As was expected, the between-class similarity of Classyfire was lower than NPClassifier, as NPClassifier was designed specifically for natural products which would result less distinct classes. The similarity matrices this notebook output could elucidate confusion matrices of similarity-based classification algorithms.</w:t>
      </w:r>
    </w:p>
    <w:p w14:paraId="5366A9D1" w14:textId="0C34D03D" w:rsidR="00731542" w:rsidRPr="00731542" w:rsidRDefault="00731542" w:rsidP="00125EB9">
      <w:pPr>
        <w:rPr>
          <w:lang w:val="en-GB"/>
        </w:rPr>
      </w:pPr>
      <w:r w:rsidRPr="00731542">
        <w:rPr>
          <w:lang w:val="en-GB"/>
        </w:rPr>
        <w:t>Jaccard similarity between NPClassifier classes</w:t>
      </w:r>
      <w:r>
        <w:rPr>
          <w:lang w:val="en-GB"/>
        </w:rPr>
        <w:t>.csv</w:t>
      </w:r>
      <w:r>
        <w:rPr>
          <w:lang w:val="en-GB"/>
        </w:rPr>
        <w:br/>
      </w:r>
      <w:r w:rsidRPr="00731542">
        <w:rPr>
          <w:lang w:val="en-GB"/>
        </w:rPr>
        <w:t>Jaccard similarity between Classyfire classes</w:t>
      </w:r>
      <w:r>
        <w:rPr>
          <w:lang w:val="en-GB"/>
        </w:rPr>
        <w:t>.csv</w:t>
      </w:r>
    </w:p>
    <w:p w14:paraId="2C7783ED" w14:textId="77777777" w:rsidR="00355B28" w:rsidRPr="00355B28" w:rsidRDefault="00355B28" w:rsidP="00355B28">
      <w:pPr>
        <w:rPr>
          <w:lang w:val="en-GB"/>
        </w:rPr>
      </w:pPr>
    </w:p>
    <w:p w14:paraId="4B0C6850" w14:textId="74B81750" w:rsidR="00355B28" w:rsidRPr="00125EB9" w:rsidRDefault="00684E4A" w:rsidP="00582B46">
      <w:pPr>
        <w:ind w:firstLine="720"/>
        <w:rPr>
          <w:b/>
          <w:bCs/>
          <w:lang w:val="en-GB"/>
        </w:rPr>
      </w:pPr>
      <w:r>
        <w:rPr>
          <w:b/>
          <w:bCs/>
          <w:lang w:val="en-GB"/>
        </w:rPr>
        <w:t>Spec2Vec</w:t>
      </w:r>
      <w:r w:rsidR="00355B28" w:rsidRPr="00125EB9">
        <w:rPr>
          <w:b/>
          <w:bCs/>
          <w:lang w:val="en-GB"/>
        </w:rPr>
        <w:t xml:space="preserve"> similarity per classification group.ipynb</w:t>
      </w:r>
    </w:p>
    <w:p w14:paraId="12C0C607" w14:textId="4D3B8214" w:rsidR="00DB48F6" w:rsidRDefault="00582B46" w:rsidP="00125EB9">
      <w:pPr>
        <w:rPr>
          <w:lang w:val="en-GB"/>
        </w:rPr>
      </w:pPr>
      <w:r>
        <w:rPr>
          <w:lang w:val="en-GB"/>
        </w:rPr>
        <w:t xml:space="preserve">To quantify how well the parameters for the </w:t>
      </w:r>
      <w:r w:rsidR="00684E4A">
        <w:rPr>
          <w:lang w:val="en-GB"/>
        </w:rPr>
        <w:t>Spec2Vec</w:t>
      </w:r>
      <w:r>
        <w:rPr>
          <w:lang w:val="en-GB"/>
        </w:rPr>
        <w:t xml:space="preserve"> embedding process were chosen, and how much of the internal similarity the </w:t>
      </w:r>
      <w:r w:rsidR="00684E4A">
        <w:rPr>
          <w:lang w:val="en-GB"/>
        </w:rPr>
        <w:t>Spec2Vec</w:t>
      </w:r>
      <w:r>
        <w:rPr>
          <w:lang w:val="en-GB"/>
        </w:rPr>
        <w:t xml:space="preserve"> embeddings capture, the </w:t>
      </w:r>
      <w:r w:rsidR="00684E4A">
        <w:rPr>
          <w:lang w:val="en-GB"/>
        </w:rPr>
        <w:t>Spec2Vec</w:t>
      </w:r>
      <w:r>
        <w:rPr>
          <w:lang w:val="en-GB"/>
        </w:rPr>
        <w:t xml:space="preserve"> similarity of each class and classifier was also computed. The results show that there is much space for improvement, which, while disappointing, are not surprising considering </w:t>
      </w:r>
      <w:r w:rsidR="00684E4A">
        <w:rPr>
          <w:lang w:val="en-GB"/>
        </w:rPr>
        <w:t>Spec2Vec</w:t>
      </w:r>
      <w:r>
        <w:rPr>
          <w:lang w:val="en-GB"/>
        </w:rPr>
        <w:t xml:space="preserve">’s tendency to underestimate the similarity of </w:t>
      </w:r>
      <w:r w:rsidR="007E2A00">
        <w:rPr>
          <w:lang w:val="en-GB"/>
        </w:rPr>
        <w:t xml:space="preserve">all </w:t>
      </w:r>
      <w:r>
        <w:rPr>
          <w:lang w:val="en-GB"/>
        </w:rPr>
        <w:t>compounds with</w:t>
      </w:r>
      <w:r w:rsidR="007E2A00">
        <w:rPr>
          <w:lang w:val="en-GB"/>
        </w:rPr>
        <w:t xml:space="preserve"> </w:t>
      </w:r>
      <w:r>
        <w:rPr>
          <w:lang w:val="en-GB"/>
        </w:rPr>
        <w:t xml:space="preserve">a Jaccard score lower than </w:t>
      </w:r>
      <w:r w:rsidR="007E2A00">
        <w:rPr>
          <w:lang w:val="en-GB"/>
        </w:rPr>
        <w:t>~</w:t>
      </w:r>
      <w:r>
        <w:rPr>
          <w:lang w:val="en-GB"/>
        </w:rPr>
        <w:t xml:space="preserve">0.8. </w:t>
      </w:r>
    </w:p>
    <w:p w14:paraId="4061AE01" w14:textId="77777777" w:rsidR="00DB48F6" w:rsidRDefault="00731542" w:rsidP="00DB48F6">
      <w:pPr>
        <w:rPr>
          <w:lang w:val="en-GB"/>
        </w:rPr>
      </w:pPr>
      <w:r w:rsidRPr="00731542">
        <w:rPr>
          <w:lang w:val="en-GB"/>
        </w:rPr>
        <w:t>Internal spec2vec similarity per classification group</w:t>
      </w:r>
      <w:r>
        <w:rPr>
          <w:lang w:val="en-GB"/>
        </w:rPr>
        <w:t>.csv</w:t>
      </w:r>
    </w:p>
    <w:p w14:paraId="5A28CCB9" w14:textId="77777777" w:rsidR="00DB48F6" w:rsidRDefault="00DB48F6" w:rsidP="00DB48F6">
      <w:pPr>
        <w:rPr>
          <w:lang w:val="en-GB"/>
        </w:rPr>
      </w:pPr>
    </w:p>
    <w:p w14:paraId="35FCDCAF" w14:textId="7E5D3E37" w:rsidR="00582B46" w:rsidRPr="00DB48F6" w:rsidRDefault="00582B46" w:rsidP="00DB48F6">
      <w:pPr>
        <w:ind w:firstLine="720"/>
        <w:rPr>
          <w:lang w:val="en-GB"/>
        </w:rPr>
      </w:pPr>
      <w:r w:rsidRPr="00582B46">
        <w:rPr>
          <w:b/>
          <w:bCs/>
          <w:lang w:val="en-GB"/>
        </w:rPr>
        <w:t>Compare internal similarities to MS2DeepScore.ipynb</w:t>
      </w:r>
    </w:p>
    <w:p w14:paraId="20579B94" w14:textId="711C3668" w:rsidR="00582B46" w:rsidRDefault="00582B46" w:rsidP="00582B46">
      <w:pPr>
        <w:rPr>
          <w:lang w:val="en-GB"/>
        </w:rPr>
      </w:pPr>
      <w:r>
        <w:rPr>
          <w:lang w:val="en-GB"/>
        </w:rPr>
        <w:t>After determining the internal similarities of various Classyfire classes and NPClassifier classes using Jaccard</w:t>
      </w:r>
      <w:r w:rsidR="007E2A00">
        <w:rPr>
          <w:lang w:val="en-GB"/>
        </w:rPr>
        <w:t xml:space="preserve"> score and </w:t>
      </w:r>
      <w:r w:rsidR="00684E4A">
        <w:rPr>
          <w:lang w:val="en-GB"/>
        </w:rPr>
        <w:t>Spec2Vec</w:t>
      </w:r>
      <w:r w:rsidR="007E2A00">
        <w:rPr>
          <w:lang w:val="en-GB"/>
        </w:rPr>
        <w:t xml:space="preserve"> similarity, the point was raised that it would be very interesting to see how these compare to the supervised embeddings produced by MS2DeepScore. Calculating the embeddings takes a while, so I wrote a script that uses parallel computation to speed up the process. Whereas </w:t>
      </w:r>
      <w:r w:rsidR="00684E4A">
        <w:rPr>
          <w:lang w:val="en-GB"/>
        </w:rPr>
        <w:t>Spec2Vec</w:t>
      </w:r>
      <w:r w:rsidR="007E2A00">
        <w:rPr>
          <w:lang w:val="en-GB"/>
        </w:rPr>
        <w:t xml:space="preserve"> drastically underestimates the similarity of all but highly similar compounds, MS2DeepScore slightly overestimates the similarity. Setting the cut-off value for “high similarity” just slightly higher (0.65 instead of </w:t>
      </w:r>
      <w:r w:rsidR="007E2A00">
        <w:rPr>
          <w:lang w:val="en-GB"/>
        </w:rPr>
        <w:lastRenderedPageBreak/>
        <w:t>0.6) however, created a nice correlation with the p</w:t>
      </w:r>
      <w:r w:rsidR="007E2A00" w:rsidRPr="007E2A00">
        <w:rPr>
          <w:lang w:val="en-GB"/>
        </w:rPr>
        <w:t>ercentage of pairs exceeding 0.6 Jaccard similarity</w:t>
      </w:r>
      <w:r w:rsidR="007E2A00">
        <w:rPr>
          <w:lang w:val="en-GB"/>
        </w:rPr>
        <w:t>. This was true for both NPClassifier classes, and Classyfire classes, suggesting this threshold might generalize to other datasets.</w:t>
      </w:r>
    </w:p>
    <w:p w14:paraId="071B098A" w14:textId="5E2BCC6E" w:rsidR="005D0790" w:rsidRPr="007E2A00" w:rsidRDefault="007E2A00" w:rsidP="007E2A00">
      <w:pPr>
        <w:rPr>
          <w:lang w:val="en-GB"/>
        </w:rPr>
      </w:pPr>
      <w:r w:rsidRPr="007E2A00">
        <w:rPr>
          <w:lang w:val="en-GB"/>
        </w:rPr>
        <w:t>Calculate_MS2DS_embeddings.py</w:t>
      </w:r>
      <w:r w:rsidR="00435A61">
        <w:rPr>
          <w:lang w:val="en-GB"/>
        </w:rPr>
        <w:t xml:space="preserve"> (available on Github)</w:t>
      </w:r>
      <w:r w:rsidR="005D0790">
        <w:rPr>
          <w:lang w:val="en-GB"/>
        </w:rPr>
        <w:br/>
      </w:r>
      <w:r w:rsidR="005D0790" w:rsidRPr="005D0790">
        <w:rPr>
          <w:lang w:val="en-GB"/>
        </w:rPr>
        <w:t>MS2DeepScore_embedding_annotated_spectra_210409_joblib</w:t>
      </w:r>
      <w:r w:rsidR="005D0790">
        <w:rPr>
          <w:lang w:val="en-GB"/>
        </w:rPr>
        <w:t>.pickle</w:t>
      </w:r>
    </w:p>
    <w:p w14:paraId="53EF34A0" w14:textId="77777777" w:rsidR="007E2A00" w:rsidRPr="00582B46" w:rsidRDefault="007E2A00" w:rsidP="00582B46">
      <w:pPr>
        <w:rPr>
          <w:lang w:val="en-GB"/>
        </w:rPr>
      </w:pPr>
    </w:p>
    <w:p w14:paraId="28EE2923" w14:textId="4D934117" w:rsidR="00355B28" w:rsidRDefault="009C3587" w:rsidP="00DB48F6">
      <w:pPr>
        <w:ind w:firstLine="720"/>
        <w:rPr>
          <w:b/>
          <w:bCs/>
          <w:lang w:val="en-GB"/>
        </w:rPr>
      </w:pPr>
      <w:r w:rsidRPr="00125EB9">
        <w:rPr>
          <w:b/>
          <w:bCs/>
          <w:lang w:val="en-GB"/>
        </w:rPr>
        <w:t>Unsupervised spec2vec UMAP exploration.ipynb</w:t>
      </w:r>
    </w:p>
    <w:p w14:paraId="41F765F6" w14:textId="1DC2F2CC" w:rsidR="00DB48F6" w:rsidRDefault="00684E4A" w:rsidP="009C3587">
      <w:pPr>
        <w:rPr>
          <w:lang w:val="en-GB"/>
        </w:rPr>
      </w:pPr>
      <w:r>
        <w:rPr>
          <w:lang w:val="en-GB"/>
        </w:rPr>
        <w:t>Spec2Vec</w:t>
      </w:r>
      <w:r w:rsidR="00DB48F6" w:rsidRPr="00DB48F6">
        <w:rPr>
          <w:lang w:val="en-GB"/>
        </w:rPr>
        <w:t>-based UMAP exploration of classes larger than 3000 spectra of each of the following classification groups: NPC</w:t>
      </w:r>
      <w:r w:rsidR="00DB48F6">
        <w:rPr>
          <w:lang w:val="en-GB"/>
        </w:rPr>
        <w:t>lassifier</w:t>
      </w:r>
      <w:r w:rsidR="00DB48F6" w:rsidRPr="00DB48F6">
        <w:rPr>
          <w:lang w:val="en-GB"/>
        </w:rPr>
        <w:t xml:space="preserve"> pathway, NPC</w:t>
      </w:r>
      <w:r w:rsidR="00DB48F6">
        <w:rPr>
          <w:lang w:val="en-GB"/>
        </w:rPr>
        <w:t>lassifier</w:t>
      </w:r>
      <w:r w:rsidR="00DB48F6" w:rsidRPr="00DB48F6">
        <w:rPr>
          <w:lang w:val="en-GB"/>
        </w:rPr>
        <w:t xml:space="preserve"> superclass, C</w:t>
      </w:r>
      <w:r w:rsidR="00DB48F6">
        <w:rPr>
          <w:lang w:val="en-GB"/>
        </w:rPr>
        <w:t>lassyfire</w:t>
      </w:r>
      <w:r w:rsidR="00DB48F6" w:rsidRPr="00DB48F6">
        <w:rPr>
          <w:lang w:val="en-GB"/>
        </w:rPr>
        <w:t xml:space="preserve"> superclass, and C</w:t>
      </w:r>
      <w:r w:rsidR="00DB48F6">
        <w:rPr>
          <w:lang w:val="en-GB"/>
        </w:rPr>
        <w:t>lassyfire</w:t>
      </w:r>
      <w:r w:rsidR="00DB48F6" w:rsidRPr="00DB48F6">
        <w:rPr>
          <w:lang w:val="en-GB"/>
        </w:rPr>
        <w:t xml:space="preserve"> class. </w:t>
      </w:r>
      <w:r w:rsidR="00DB48F6">
        <w:rPr>
          <w:lang w:val="en-GB"/>
        </w:rPr>
        <w:t>It includes minimal working examples for static seaborn plots and interactively plots using plotly.express.</w:t>
      </w:r>
    </w:p>
    <w:p w14:paraId="25C4949D" w14:textId="6A42C213" w:rsidR="009C3587" w:rsidRDefault="00731542" w:rsidP="009C3587">
      <w:pPr>
        <w:rPr>
          <w:lang w:val="en-GB"/>
        </w:rPr>
      </w:pPr>
      <w:r>
        <w:rPr>
          <w:lang w:val="en-GB"/>
        </w:rPr>
        <w:t>spec2vec_npc_pathway_umap.pickle</w:t>
      </w:r>
      <w:r>
        <w:rPr>
          <w:lang w:val="en-GB"/>
        </w:rPr>
        <w:br/>
        <w:t>spec2vec_npc_superclass_umap.pickle</w:t>
      </w:r>
      <w:r>
        <w:rPr>
          <w:lang w:val="en-GB"/>
        </w:rPr>
        <w:br/>
        <w:t>spec2vec_cf_superclass_umap.pickle</w:t>
      </w:r>
      <w:r>
        <w:rPr>
          <w:lang w:val="en-GB"/>
        </w:rPr>
        <w:br/>
        <w:t>spec2vec_cf_class_umap.pickle</w:t>
      </w:r>
    </w:p>
    <w:p w14:paraId="1E1C502F" w14:textId="77777777" w:rsidR="00DB48F6" w:rsidRPr="009C3587" w:rsidRDefault="00DB48F6" w:rsidP="009C3587">
      <w:pPr>
        <w:rPr>
          <w:lang w:val="en-GB"/>
        </w:rPr>
      </w:pPr>
    </w:p>
    <w:p w14:paraId="7DEBC030" w14:textId="1073A9BD" w:rsidR="00734684" w:rsidRDefault="00734684" w:rsidP="00DB48F6">
      <w:pPr>
        <w:ind w:firstLine="720"/>
        <w:rPr>
          <w:b/>
          <w:bCs/>
          <w:lang w:val="en-GB"/>
        </w:rPr>
      </w:pPr>
      <w:r w:rsidRPr="00125EB9">
        <w:rPr>
          <w:b/>
          <w:bCs/>
          <w:lang w:val="en-GB"/>
        </w:rPr>
        <w:t>Unsupervised MS2DS UMAP exploration.ipynb</w:t>
      </w:r>
    </w:p>
    <w:p w14:paraId="1D709AD5" w14:textId="77777777" w:rsidR="00DB48F6" w:rsidRDefault="00DB48F6" w:rsidP="001745C9">
      <w:pPr>
        <w:rPr>
          <w:lang w:val="en-GB"/>
        </w:rPr>
      </w:pPr>
      <w:r>
        <w:rPr>
          <w:lang w:val="en-GB"/>
        </w:rPr>
        <w:t>MS2DeepScore</w:t>
      </w:r>
      <w:r w:rsidRPr="00DB48F6">
        <w:rPr>
          <w:lang w:val="en-GB"/>
        </w:rPr>
        <w:t>-based UMAP exploration of classes larger than 3000 spectra of each of the following classification groups: NPC</w:t>
      </w:r>
      <w:r>
        <w:rPr>
          <w:lang w:val="en-GB"/>
        </w:rPr>
        <w:t>lassifier</w:t>
      </w:r>
      <w:r w:rsidRPr="00DB48F6">
        <w:rPr>
          <w:lang w:val="en-GB"/>
        </w:rPr>
        <w:t xml:space="preserve"> pathway, NPC</w:t>
      </w:r>
      <w:r>
        <w:rPr>
          <w:lang w:val="en-GB"/>
        </w:rPr>
        <w:t>lassifier</w:t>
      </w:r>
      <w:r w:rsidRPr="00DB48F6">
        <w:rPr>
          <w:lang w:val="en-GB"/>
        </w:rPr>
        <w:t xml:space="preserve"> superclass, C</w:t>
      </w:r>
      <w:r>
        <w:rPr>
          <w:lang w:val="en-GB"/>
        </w:rPr>
        <w:t>lassyfire</w:t>
      </w:r>
      <w:r w:rsidRPr="00DB48F6">
        <w:rPr>
          <w:lang w:val="en-GB"/>
        </w:rPr>
        <w:t xml:space="preserve"> superclass, and C</w:t>
      </w:r>
      <w:r>
        <w:rPr>
          <w:lang w:val="en-GB"/>
        </w:rPr>
        <w:t>lassyfire</w:t>
      </w:r>
      <w:r w:rsidRPr="00DB48F6">
        <w:rPr>
          <w:lang w:val="en-GB"/>
        </w:rPr>
        <w:t xml:space="preserve"> class.</w:t>
      </w:r>
    </w:p>
    <w:p w14:paraId="7E1B028B" w14:textId="32B9920D" w:rsidR="00435A61" w:rsidRDefault="00731542" w:rsidP="001745C9">
      <w:pPr>
        <w:rPr>
          <w:lang w:val="en-GB"/>
        </w:rPr>
      </w:pPr>
      <w:r>
        <w:rPr>
          <w:lang w:val="en-GB"/>
        </w:rPr>
        <w:t>ms2ds_npc_pathway_umap.pickle</w:t>
      </w:r>
      <w:r>
        <w:rPr>
          <w:lang w:val="en-GB"/>
        </w:rPr>
        <w:br/>
        <w:t>ms2ds_npc_superclass_umap.pickle</w:t>
      </w:r>
      <w:r>
        <w:rPr>
          <w:lang w:val="en-GB"/>
        </w:rPr>
        <w:br/>
        <w:t>ms2ds_cf_superclass_umap.pickle</w:t>
      </w:r>
      <w:r>
        <w:rPr>
          <w:lang w:val="en-GB"/>
        </w:rPr>
        <w:br/>
        <w:t>ms2ds_cf_class_umap.pickle</w:t>
      </w:r>
    </w:p>
    <w:p w14:paraId="1424CB2D" w14:textId="629337A4" w:rsidR="00B604BF" w:rsidRDefault="00B604BF" w:rsidP="001745C9">
      <w:pPr>
        <w:rPr>
          <w:lang w:val="en-GB"/>
        </w:rPr>
      </w:pPr>
    </w:p>
    <w:p w14:paraId="44CA748E" w14:textId="70C1F699" w:rsidR="00B604BF" w:rsidRPr="00B604BF" w:rsidRDefault="00B604BF" w:rsidP="001745C9">
      <w:pPr>
        <w:rPr>
          <w:b/>
          <w:bCs/>
          <w:lang w:val="en-GB"/>
        </w:rPr>
      </w:pPr>
      <w:r>
        <w:rPr>
          <w:lang w:val="en-GB"/>
        </w:rPr>
        <w:tab/>
      </w:r>
      <w:r>
        <w:rPr>
          <w:b/>
          <w:bCs/>
          <w:lang w:val="en-GB"/>
        </w:rPr>
        <w:t>Supervised UMAP – minimal working examples.ipynb</w:t>
      </w:r>
    </w:p>
    <w:p w14:paraId="7C3FECB2" w14:textId="4D1DAF92" w:rsidR="00684E4A" w:rsidRDefault="00B604BF" w:rsidP="001745C9">
      <w:pPr>
        <w:rPr>
          <w:lang w:val="en-GB"/>
        </w:rPr>
      </w:pPr>
      <w:r w:rsidRPr="00B604BF">
        <w:rPr>
          <w:lang w:val="en-GB"/>
        </w:rPr>
        <w:t>This notebook contains minimal working examples for a few methods of supervised UMAP clustering. Please note that these results are not meant to be exhaustive, methods that appear to perform poorly may yet yield surprising results with different parameters. The methods outlined in this notebook are: supervised UMAP, semi-supervised UMAP, and tree-based UMAP using ExtraTrees. To illustrate how different tree-based UMAPs can look, even when using the same model, UMAPs of the best and worst ExtraTrees model are shown.</w:t>
      </w:r>
    </w:p>
    <w:p w14:paraId="7395EDB0" w14:textId="632A9270" w:rsidR="00EE137B" w:rsidRDefault="00EE137B" w:rsidP="001745C9">
      <w:pPr>
        <w:rPr>
          <w:lang w:val="en-GB"/>
        </w:rPr>
      </w:pPr>
    </w:p>
    <w:p w14:paraId="7340AE79" w14:textId="7A3F3781" w:rsidR="00EE137B" w:rsidRDefault="00EE137B" w:rsidP="001745C9">
      <w:pPr>
        <w:rPr>
          <w:lang w:val="en-GB"/>
        </w:rPr>
      </w:pPr>
    </w:p>
    <w:p w14:paraId="0BC2D691" w14:textId="460DF8BE" w:rsidR="001745C9" w:rsidRDefault="00355B28" w:rsidP="001745C9">
      <w:pPr>
        <w:pStyle w:val="Heading1"/>
        <w:rPr>
          <w:lang w:val="en-GB"/>
        </w:rPr>
      </w:pPr>
      <w:bookmarkStart w:id="1" w:name="_Toc86911055"/>
      <w:r>
        <w:rPr>
          <w:lang w:val="en-GB"/>
        </w:rPr>
        <w:lastRenderedPageBreak/>
        <w:t>Data</w:t>
      </w:r>
      <w:r w:rsidR="001745C9">
        <w:rPr>
          <w:lang w:val="en-GB"/>
        </w:rPr>
        <w:t xml:space="preserve"> management</w:t>
      </w:r>
      <w:bookmarkEnd w:id="1"/>
    </w:p>
    <w:p w14:paraId="210C694B" w14:textId="77777777" w:rsidR="00EE137B" w:rsidRPr="00EE137B" w:rsidRDefault="00EE137B" w:rsidP="00EE137B">
      <w:pPr>
        <w:rPr>
          <w:lang w:val="en-GB"/>
        </w:rPr>
      </w:pPr>
    </w:p>
    <w:p w14:paraId="65E52DE1" w14:textId="55E70CA8" w:rsidR="004B601A" w:rsidRPr="004B601A" w:rsidRDefault="001745C9" w:rsidP="00EB0E72">
      <w:pPr>
        <w:pStyle w:val="Heading2"/>
        <w:rPr>
          <w:lang w:val="en-GB"/>
        </w:rPr>
      </w:pPr>
      <w:bookmarkStart w:id="2" w:name="_Toc86911056"/>
      <w:r w:rsidRPr="00435A61">
        <w:rPr>
          <w:color w:val="A6A6A6" w:themeColor="background1" w:themeShade="A6"/>
          <w:lang w:val="en-GB"/>
        </w:rPr>
        <w:t>Input files</w:t>
      </w:r>
      <w:bookmarkEnd w:id="2"/>
      <w:r w:rsidR="004B601A">
        <w:rPr>
          <w:lang w:val="en-GB"/>
        </w:rPr>
        <w:br/>
      </w:r>
    </w:p>
    <w:p w14:paraId="0E3B290F" w14:textId="1394ACE7" w:rsidR="00355B28" w:rsidRDefault="00355B28" w:rsidP="00EB0E72">
      <w:pPr>
        <w:ind w:firstLine="720"/>
        <w:rPr>
          <w:lang w:val="en-GB"/>
        </w:rPr>
      </w:pPr>
      <w:r w:rsidRPr="004B601A">
        <w:rPr>
          <w:rStyle w:val="Strong"/>
        </w:rPr>
        <w:t>Cleaned and processed spectra:</w:t>
      </w:r>
      <w:r w:rsidR="004B601A">
        <w:rPr>
          <w:lang w:val="en-GB"/>
        </w:rPr>
        <w:t xml:space="preserve"> /mnt/LTR_userdata/hooft001/mass_spectral_embeddings/datasets/ALL_GNPS_210409_positive/</w:t>
      </w:r>
      <w:r w:rsidR="004B601A" w:rsidRPr="004B601A">
        <w:rPr>
          <w:lang w:val="en-GB"/>
        </w:rPr>
        <w:t>ALL_GNPS_210409_positive_cleaned_peaks_processed_s2v</w:t>
      </w:r>
      <w:r w:rsidR="004B601A">
        <w:rPr>
          <w:lang w:val="en-GB"/>
        </w:rPr>
        <w:t>.pickle</w:t>
      </w:r>
    </w:p>
    <w:p w14:paraId="2CF3E10E" w14:textId="415B3E58" w:rsidR="004B601A" w:rsidRPr="004B601A" w:rsidRDefault="00355B28" w:rsidP="00EB0E72">
      <w:pPr>
        <w:ind w:firstLine="720"/>
        <w:rPr>
          <w:rStyle w:val="Strong"/>
        </w:rPr>
      </w:pPr>
      <w:r w:rsidRPr="004B601A">
        <w:rPr>
          <w:rStyle w:val="Strong"/>
        </w:rPr>
        <w:t>Spectra classifications:</w:t>
      </w:r>
      <w:r w:rsidR="00EB0E72">
        <w:rPr>
          <w:rStyle w:val="Strong"/>
        </w:rPr>
        <w:br/>
      </w:r>
      <w:r w:rsidR="004B601A">
        <w:rPr>
          <w:lang w:val="en-GB"/>
        </w:rPr>
        <w:t>/mnt/LTR_userdata/hooft001/mass_spectral_embeddings/classifications/ALL_GNPS_210409_positive/</w:t>
      </w:r>
      <w:r w:rsidR="004B601A" w:rsidRPr="004B601A">
        <w:rPr>
          <w:lang w:val="en-GB"/>
        </w:rPr>
        <w:t>ALL_GNPS_210409_positive_processed_annotated_CF_NPC_classes.txt</w:t>
      </w:r>
    </w:p>
    <w:p w14:paraId="3D84CD5B" w14:textId="43C70622" w:rsidR="004B601A" w:rsidRPr="004B601A" w:rsidRDefault="00684E4A" w:rsidP="00EB0E72">
      <w:pPr>
        <w:ind w:firstLine="720"/>
        <w:rPr>
          <w:rStyle w:val="Strong"/>
        </w:rPr>
      </w:pPr>
      <w:r>
        <w:rPr>
          <w:rStyle w:val="Strong"/>
        </w:rPr>
        <w:t>Spec2Vec</w:t>
      </w:r>
      <w:r w:rsidR="00355B28" w:rsidRPr="004B601A">
        <w:rPr>
          <w:rStyle w:val="Strong"/>
        </w:rPr>
        <w:t xml:space="preserve"> model:</w:t>
      </w:r>
      <w:r w:rsidR="004B601A" w:rsidRPr="004B601A">
        <w:rPr>
          <w:rStyle w:val="Strong"/>
        </w:rPr>
        <w:t xml:space="preserve"> </w:t>
      </w:r>
      <w:r w:rsidR="00EB0E72">
        <w:rPr>
          <w:rStyle w:val="Strong"/>
        </w:rPr>
        <w:br/>
      </w:r>
      <w:r w:rsidR="004B601A">
        <w:rPr>
          <w:lang w:val="en-GB"/>
        </w:rPr>
        <w:t>/mnt/LTR_userdata/hooft001/mass_spectral_embeddings/embeddings/ALL_GNPS_210409_positive/</w:t>
      </w:r>
      <w:r w:rsidR="004B601A" w:rsidRPr="004B601A">
        <w:rPr>
          <w:lang w:val="en-GB"/>
        </w:rPr>
        <w:t>ALL_GNPS_210409_positive_cleaned_spec2vec_embedding_iter_15</w:t>
      </w:r>
    </w:p>
    <w:p w14:paraId="2370189C" w14:textId="23184ECC" w:rsidR="001745C9" w:rsidRPr="001745C9" w:rsidRDefault="00355B28" w:rsidP="00EB0E72">
      <w:pPr>
        <w:ind w:firstLine="720"/>
        <w:rPr>
          <w:lang w:val="en-GB"/>
        </w:rPr>
      </w:pPr>
      <w:r w:rsidRPr="004B601A">
        <w:rPr>
          <w:rStyle w:val="Strong"/>
        </w:rPr>
        <w:t>MS2DS model:</w:t>
      </w:r>
      <w:r w:rsidR="00094BB7">
        <w:rPr>
          <w:lang w:val="en-GB"/>
        </w:rPr>
        <w:t xml:space="preserve"> </w:t>
      </w:r>
      <w:r w:rsidR="004B601A">
        <w:rPr>
          <w:lang w:val="en-GB"/>
        </w:rPr>
        <w:br/>
      </w:r>
      <w:r w:rsidR="00094BB7" w:rsidRPr="00094BB7">
        <w:rPr>
          <w:lang w:val="en-GB"/>
        </w:rPr>
        <w:t>https://surfdrive.surf.nl/files/index.php/s/ECykxtumNdnzxcD</w:t>
      </w:r>
    </w:p>
    <w:p w14:paraId="021B1749" w14:textId="2C07BFC9" w:rsidR="001745C9" w:rsidRDefault="00DB48F6" w:rsidP="00EB0E72">
      <w:pPr>
        <w:pStyle w:val="Heading2"/>
        <w:rPr>
          <w:lang w:val="en-GB"/>
        </w:rPr>
      </w:pPr>
      <w:r>
        <w:rPr>
          <w:lang w:val="en-GB"/>
        </w:rPr>
        <w:br/>
      </w:r>
      <w:bookmarkStart w:id="3" w:name="_Toc86911057"/>
      <w:r w:rsidR="001745C9" w:rsidRPr="00435A61">
        <w:rPr>
          <w:color w:val="A6A6A6" w:themeColor="background1" w:themeShade="A6"/>
          <w:lang w:val="en-GB"/>
        </w:rPr>
        <w:t>Intermediate files</w:t>
      </w:r>
      <w:bookmarkEnd w:id="3"/>
      <w:r w:rsidR="00BE7EF3">
        <w:rPr>
          <w:lang w:val="en-GB"/>
        </w:rPr>
        <w:br/>
      </w:r>
    </w:p>
    <w:p w14:paraId="52E07DB8" w14:textId="0343A1B8" w:rsidR="00435A61" w:rsidRDefault="009C3587" w:rsidP="00435A61">
      <w:pPr>
        <w:ind w:firstLine="720"/>
        <w:rPr>
          <w:lang w:val="en-GB"/>
        </w:rPr>
      </w:pPr>
      <w:r w:rsidRPr="00BE7EF3">
        <w:rPr>
          <w:rStyle w:val="Strong"/>
        </w:rPr>
        <w:t>GNPS_210409 Metadata inchi annotated spectra.csv</w:t>
      </w:r>
      <w:r w:rsidR="00EB0E72">
        <w:rPr>
          <w:rStyle w:val="Strong"/>
        </w:rPr>
        <w:br/>
      </w:r>
      <w:r w:rsidR="004B601A">
        <w:rPr>
          <w:lang w:val="en-GB"/>
        </w:rPr>
        <w:t xml:space="preserve">Tab-seperated values describing the metadata of all spectra that were annotated with an Inchikey. Columns included </w:t>
      </w:r>
      <w:r w:rsidR="00EB0E72">
        <w:rPr>
          <w:lang w:val="en-GB"/>
        </w:rPr>
        <w:t>are</w:t>
      </w:r>
      <w:r w:rsidR="004B601A">
        <w:rPr>
          <w:lang w:val="en-GB"/>
        </w:rPr>
        <w:t xml:space="preserve"> ID, inchikey, inchi, instrument, spectrum_index (which refers to the index of each spectrum in the spectra pickle file</w:t>
      </w:r>
      <w:r w:rsidR="00BE7EF3">
        <w:rPr>
          <w:lang w:val="en-GB"/>
        </w:rPr>
        <w:t xml:space="preserve">), as well as every classification obtained from Classyfire and NPClassifier. The code for this dataframe occurs in multiple notebooks, the first of which is </w:t>
      </w:r>
      <w:r w:rsidR="00BE7EF3" w:rsidRPr="00BE7EF3">
        <w:rPr>
          <w:lang w:val="en-GB"/>
        </w:rPr>
        <w:t>t-SNE and UMAP comparison.ipynb</w:t>
      </w:r>
      <w:r w:rsidR="00BE7EF3">
        <w:rPr>
          <w:lang w:val="en-GB"/>
        </w:rPr>
        <w:t>.</w:t>
      </w:r>
      <w:r w:rsidR="00435A61">
        <w:rPr>
          <w:lang w:val="en-GB"/>
        </w:rPr>
        <w:br/>
      </w:r>
    </w:p>
    <w:p w14:paraId="3BDAC469" w14:textId="080AAED4" w:rsidR="00435A61" w:rsidRDefault="00435A61" w:rsidP="00435A61">
      <w:pPr>
        <w:pStyle w:val="Heading2"/>
        <w:rPr>
          <w:color w:val="A6A6A6" w:themeColor="background1" w:themeShade="A6"/>
          <w:lang w:val="en-GB"/>
        </w:rPr>
      </w:pPr>
      <w:bookmarkStart w:id="4" w:name="_Toc86911058"/>
      <w:r w:rsidRPr="00435A61">
        <w:rPr>
          <w:color w:val="A6A6A6" w:themeColor="background1" w:themeShade="A6"/>
          <w:lang w:val="en-GB"/>
        </w:rPr>
        <w:t>Presentations</w:t>
      </w:r>
      <w:bookmarkEnd w:id="4"/>
    </w:p>
    <w:p w14:paraId="1CE1A654" w14:textId="77777777" w:rsidR="00435A61" w:rsidRPr="00435A61" w:rsidRDefault="00435A61" w:rsidP="00435A61">
      <w:pPr>
        <w:rPr>
          <w:lang w:val="en-GB"/>
        </w:rPr>
      </w:pPr>
    </w:p>
    <w:p w14:paraId="2F71FFA3" w14:textId="2100E9AE" w:rsidR="00684E4A" w:rsidRDefault="003659FC" w:rsidP="001745C9">
      <w:pPr>
        <w:rPr>
          <w:lang w:val="en-GB"/>
        </w:rPr>
      </w:pPr>
      <w:r w:rsidRPr="00435A61">
        <w:rPr>
          <w:lang w:val="en-GB"/>
        </w:rPr>
        <w:t>20-09-2021 Diving into compound and spectrum similarities</w:t>
      </w:r>
      <w:r w:rsidR="00435A61">
        <w:rPr>
          <w:lang w:val="en-GB"/>
        </w:rPr>
        <w:br/>
      </w:r>
      <w:r w:rsidRPr="00435A61">
        <w:rPr>
          <w:lang w:val="en-GB"/>
        </w:rPr>
        <w:t>01-10-2021 Preparing for MetaboNews</w:t>
      </w:r>
      <w:r w:rsidR="00435A61">
        <w:rPr>
          <w:lang w:val="en-GB"/>
        </w:rPr>
        <w:br/>
      </w:r>
      <w:r w:rsidRPr="00435A61">
        <w:rPr>
          <w:lang w:val="en-GB"/>
        </w:rPr>
        <w:t>21-10-2021 Spec2vec vs MS2DeepScore UMAPs</w:t>
      </w:r>
    </w:p>
    <w:p w14:paraId="3B117BCC" w14:textId="390082F3" w:rsidR="00684E4A" w:rsidRPr="00684E4A" w:rsidRDefault="00684E4A" w:rsidP="00684E4A">
      <w:pPr>
        <w:ind w:left="720"/>
        <w:rPr>
          <w:lang w:val="en-GB"/>
        </w:rPr>
      </w:pPr>
      <w:r w:rsidRPr="00684E4A">
        <w:rPr>
          <w:b/>
          <w:bCs/>
          <w:lang w:val="en-GB"/>
        </w:rPr>
        <w:t>Important:</w:t>
      </w:r>
      <w:r>
        <w:rPr>
          <w:b/>
          <w:bCs/>
          <w:lang w:val="en-GB"/>
        </w:rPr>
        <w:t xml:space="preserve"> </w:t>
      </w:r>
      <w:r w:rsidRPr="00684E4A">
        <w:rPr>
          <w:lang w:val="en-GB"/>
        </w:rPr>
        <w:t xml:space="preserve">The </w:t>
      </w:r>
      <w:r>
        <w:rPr>
          <w:lang w:val="en-GB"/>
        </w:rPr>
        <w:t>downsampled Spec2Vec UMAPs in the “</w:t>
      </w:r>
      <w:r w:rsidRPr="00684E4A">
        <w:rPr>
          <w:lang w:val="en-GB"/>
        </w:rPr>
        <w:t xml:space="preserve">Spec2vec </w:t>
      </w:r>
      <w:r w:rsidRPr="00435A61">
        <w:rPr>
          <w:lang w:val="en-GB"/>
        </w:rPr>
        <w:t>vs MS2DeepScore UMAPs</w:t>
      </w:r>
      <w:r>
        <w:rPr>
          <w:lang w:val="en-GB"/>
        </w:rPr>
        <w:t xml:space="preserve">” presentation look very promising, but these turned out to be the </w:t>
      </w:r>
      <w:r w:rsidRPr="00684E4A">
        <w:rPr>
          <w:b/>
          <w:bCs/>
          <w:lang w:val="en-GB"/>
        </w:rPr>
        <w:t>result of a bug</w:t>
      </w:r>
      <w:r>
        <w:rPr>
          <w:lang w:val="en-GB"/>
        </w:rPr>
        <w:t>. This bug is explained in the notebook “</w:t>
      </w:r>
      <w:r w:rsidRPr="00684E4A">
        <w:rPr>
          <w:lang w:val="en-GB"/>
        </w:rPr>
        <w:t>Unsupervised spec2vec UMAP exploration”.</w:t>
      </w:r>
    </w:p>
    <w:sectPr w:rsidR="00684E4A" w:rsidRPr="00684E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B6B7D"/>
    <w:multiLevelType w:val="hybridMultilevel"/>
    <w:tmpl w:val="A45E3BE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745C9"/>
    <w:rsid w:val="00094BB7"/>
    <w:rsid w:val="00125EB9"/>
    <w:rsid w:val="00137003"/>
    <w:rsid w:val="001745C9"/>
    <w:rsid w:val="00210624"/>
    <w:rsid w:val="0029694D"/>
    <w:rsid w:val="00355B28"/>
    <w:rsid w:val="003659FC"/>
    <w:rsid w:val="00431B66"/>
    <w:rsid w:val="00435A61"/>
    <w:rsid w:val="004B601A"/>
    <w:rsid w:val="00563961"/>
    <w:rsid w:val="00582B46"/>
    <w:rsid w:val="005D0790"/>
    <w:rsid w:val="00684E4A"/>
    <w:rsid w:val="00731039"/>
    <w:rsid w:val="00731542"/>
    <w:rsid w:val="00734684"/>
    <w:rsid w:val="007E2A00"/>
    <w:rsid w:val="008373B9"/>
    <w:rsid w:val="009C3587"/>
    <w:rsid w:val="00AA3132"/>
    <w:rsid w:val="00B604BF"/>
    <w:rsid w:val="00BD3DCE"/>
    <w:rsid w:val="00BE7EF3"/>
    <w:rsid w:val="00C5766F"/>
    <w:rsid w:val="00C931EB"/>
    <w:rsid w:val="00CB1494"/>
    <w:rsid w:val="00CF2788"/>
    <w:rsid w:val="00CF5B46"/>
    <w:rsid w:val="00DB48F6"/>
    <w:rsid w:val="00EB0E72"/>
    <w:rsid w:val="00EE1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F4FE7"/>
  <w15:chartTrackingRefBased/>
  <w15:docId w15:val="{C1FF12CB-994A-41B4-A506-AF03C1226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A61"/>
  </w:style>
  <w:style w:type="paragraph" w:styleId="Heading1">
    <w:name w:val="heading 1"/>
    <w:basedOn w:val="Normal"/>
    <w:next w:val="Normal"/>
    <w:link w:val="Heading1Char"/>
    <w:uiPriority w:val="9"/>
    <w:qFormat/>
    <w:rsid w:val="00435A61"/>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435A61"/>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435A61"/>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435A61"/>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435A61"/>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435A61"/>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435A61"/>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435A61"/>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435A61"/>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A61"/>
    <w:rPr>
      <w:rFonts w:asciiTheme="majorHAnsi" w:eastAsiaTheme="majorEastAsia" w:hAnsiTheme="majorHAnsi" w:cstheme="majorBidi"/>
      <w:color w:val="E36C0A" w:themeColor="accent6" w:themeShade="BF"/>
      <w:sz w:val="40"/>
      <w:szCs w:val="40"/>
    </w:rPr>
  </w:style>
  <w:style w:type="paragraph" w:styleId="Title">
    <w:name w:val="Title"/>
    <w:basedOn w:val="Normal"/>
    <w:next w:val="Normal"/>
    <w:link w:val="TitleChar"/>
    <w:uiPriority w:val="10"/>
    <w:qFormat/>
    <w:rsid w:val="00435A6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35A61"/>
    <w:rPr>
      <w:rFonts w:asciiTheme="majorHAnsi" w:eastAsiaTheme="majorEastAsia" w:hAnsiTheme="majorHAnsi" w:cstheme="majorBidi"/>
      <w:color w:val="262626" w:themeColor="text1" w:themeTint="D9"/>
      <w:spacing w:val="-15"/>
      <w:sz w:val="96"/>
      <w:szCs w:val="96"/>
    </w:rPr>
  </w:style>
  <w:style w:type="character" w:customStyle="1" w:styleId="Heading2Char">
    <w:name w:val="Heading 2 Char"/>
    <w:basedOn w:val="DefaultParagraphFont"/>
    <w:link w:val="Heading2"/>
    <w:uiPriority w:val="9"/>
    <w:rsid w:val="00435A61"/>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rsid w:val="00435A61"/>
    <w:rPr>
      <w:rFonts w:asciiTheme="majorHAnsi" w:eastAsiaTheme="majorEastAsia" w:hAnsiTheme="majorHAnsi" w:cstheme="majorBidi"/>
      <w:color w:val="E36C0A" w:themeColor="accent6" w:themeShade="BF"/>
      <w:sz w:val="24"/>
      <w:szCs w:val="24"/>
    </w:rPr>
  </w:style>
  <w:style w:type="paragraph" w:styleId="Subtitle">
    <w:name w:val="Subtitle"/>
    <w:basedOn w:val="Normal"/>
    <w:next w:val="Normal"/>
    <w:link w:val="SubtitleChar"/>
    <w:uiPriority w:val="11"/>
    <w:qFormat/>
    <w:rsid w:val="00435A6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35A61"/>
    <w:rPr>
      <w:rFonts w:asciiTheme="majorHAnsi" w:eastAsiaTheme="majorEastAsia" w:hAnsiTheme="majorHAnsi" w:cstheme="majorBidi"/>
      <w:sz w:val="30"/>
      <w:szCs w:val="30"/>
    </w:rPr>
  </w:style>
  <w:style w:type="character" w:styleId="Strong">
    <w:name w:val="Strong"/>
    <w:basedOn w:val="DefaultParagraphFont"/>
    <w:uiPriority w:val="22"/>
    <w:qFormat/>
    <w:rsid w:val="00435A61"/>
    <w:rPr>
      <w:b/>
      <w:bCs/>
    </w:rPr>
  </w:style>
  <w:style w:type="character" w:styleId="Hyperlink">
    <w:name w:val="Hyperlink"/>
    <w:basedOn w:val="DefaultParagraphFont"/>
    <w:uiPriority w:val="99"/>
    <w:unhideWhenUsed/>
    <w:rsid w:val="00125EB9"/>
    <w:rPr>
      <w:color w:val="0000FF" w:themeColor="hyperlink"/>
      <w:u w:val="single"/>
    </w:rPr>
  </w:style>
  <w:style w:type="character" w:styleId="UnresolvedMention">
    <w:name w:val="Unresolved Mention"/>
    <w:basedOn w:val="DefaultParagraphFont"/>
    <w:uiPriority w:val="99"/>
    <w:semiHidden/>
    <w:unhideWhenUsed/>
    <w:rsid w:val="00125EB9"/>
    <w:rPr>
      <w:color w:val="605E5C"/>
      <w:shd w:val="clear" w:color="auto" w:fill="E1DFDD"/>
    </w:rPr>
  </w:style>
  <w:style w:type="character" w:customStyle="1" w:styleId="Heading4Char">
    <w:name w:val="Heading 4 Char"/>
    <w:basedOn w:val="DefaultParagraphFont"/>
    <w:link w:val="Heading4"/>
    <w:uiPriority w:val="9"/>
    <w:semiHidden/>
    <w:rsid w:val="00435A61"/>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435A61"/>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435A61"/>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435A61"/>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435A61"/>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435A61"/>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435A61"/>
    <w:pPr>
      <w:spacing w:line="240" w:lineRule="auto"/>
    </w:pPr>
    <w:rPr>
      <w:b/>
      <w:bCs/>
      <w:smallCaps/>
      <w:color w:val="595959" w:themeColor="text1" w:themeTint="A6"/>
    </w:rPr>
  </w:style>
  <w:style w:type="character" w:styleId="Emphasis">
    <w:name w:val="Emphasis"/>
    <w:basedOn w:val="DefaultParagraphFont"/>
    <w:uiPriority w:val="20"/>
    <w:qFormat/>
    <w:rsid w:val="00435A61"/>
    <w:rPr>
      <w:i/>
      <w:iCs/>
      <w:color w:val="F79646" w:themeColor="accent6"/>
    </w:rPr>
  </w:style>
  <w:style w:type="paragraph" w:styleId="NoSpacing">
    <w:name w:val="No Spacing"/>
    <w:uiPriority w:val="1"/>
    <w:qFormat/>
    <w:rsid w:val="00435A61"/>
    <w:pPr>
      <w:spacing w:after="0" w:line="240" w:lineRule="auto"/>
    </w:pPr>
  </w:style>
  <w:style w:type="paragraph" w:styleId="Quote">
    <w:name w:val="Quote"/>
    <w:basedOn w:val="Normal"/>
    <w:next w:val="Normal"/>
    <w:link w:val="QuoteChar"/>
    <w:uiPriority w:val="29"/>
    <w:qFormat/>
    <w:rsid w:val="00435A6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35A61"/>
    <w:rPr>
      <w:i/>
      <w:iCs/>
      <w:color w:val="262626" w:themeColor="text1" w:themeTint="D9"/>
    </w:rPr>
  </w:style>
  <w:style w:type="paragraph" w:styleId="IntenseQuote">
    <w:name w:val="Intense Quote"/>
    <w:basedOn w:val="Normal"/>
    <w:next w:val="Normal"/>
    <w:link w:val="IntenseQuoteChar"/>
    <w:uiPriority w:val="30"/>
    <w:qFormat/>
    <w:rsid w:val="00435A61"/>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435A61"/>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435A61"/>
    <w:rPr>
      <w:i/>
      <w:iCs/>
    </w:rPr>
  </w:style>
  <w:style w:type="character" w:styleId="IntenseEmphasis">
    <w:name w:val="Intense Emphasis"/>
    <w:basedOn w:val="DefaultParagraphFont"/>
    <w:uiPriority w:val="21"/>
    <w:qFormat/>
    <w:rsid w:val="00435A61"/>
    <w:rPr>
      <w:b/>
      <w:bCs/>
      <w:i/>
      <w:iCs/>
    </w:rPr>
  </w:style>
  <w:style w:type="character" w:styleId="SubtleReference">
    <w:name w:val="Subtle Reference"/>
    <w:basedOn w:val="DefaultParagraphFont"/>
    <w:uiPriority w:val="31"/>
    <w:qFormat/>
    <w:rsid w:val="00435A61"/>
    <w:rPr>
      <w:smallCaps/>
      <w:color w:val="595959" w:themeColor="text1" w:themeTint="A6"/>
    </w:rPr>
  </w:style>
  <w:style w:type="character" w:styleId="IntenseReference">
    <w:name w:val="Intense Reference"/>
    <w:basedOn w:val="DefaultParagraphFont"/>
    <w:uiPriority w:val="32"/>
    <w:qFormat/>
    <w:rsid w:val="00435A61"/>
    <w:rPr>
      <w:b/>
      <w:bCs/>
      <w:smallCaps/>
      <w:color w:val="F79646" w:themeColor="accent6"/>
    </w:rPr>
  </w:style>
  <w:style w:type="character" w:styleId="BookTitle">
    <w:name w:val="Book Title"/>
    <w:basedOn w:val="DefaultParagraphFont"/>
    <w:uiPriority w:val="33"/>
    <w:qFormat/>
    <w:rsid w:val="00435A61"/>
    <w:rPr>
      <w:b/>
      <w:bCs/>
      <w:caps w:val="0"/>
      <w:smallCaps/>
      <w:spacing w:val="7"/>
      <w:sz w:val="21"/>
      <w:szCs w:val="21"/>
    </w:rPr>
  </w:style>
  <w:style w:type="paragraph" w:styleId="TOCHeading">
    <w:name w:val="TOC Heading"/>
    <w:basedOn w:val="Heading1"/>
    <w:next w:val="Normal"/>
    <w:uiPriority w:val="39"/>
    <w:unhideWhenUsed/>
    <w:qFormat/>
    <w:rsid w:val="00435A61"/>
    <w:pPr>
      <w:outlineLvl w:val="9"/>
    </w:pPr>
  </w:style>
  <w:style w:type="paragraph" w:styleId="TOC1">
    <w:name w:val="toc 1"/>
    <w:basedOn w:val="Normal"/>
    <w:next w:val="Normal"/>
    <w:autoRedefine/>
    <w:uiPriority w:val="39"/>
    <w:unhideWhenUsed/>
    <w:rsid w:val="00435A61"/>
    <w:pPr>
      <w:spacing w:after="100"/>
    </w:pPr>
  </w:style>
  <w:style w:type="paragraph" w:styleId="TOC2">
    <w:name w:val="toc 2"/>
    <w:basedOn w:val="Normal"/>
    <w:next w:val="Normal"/>
    <w:autoRedefine/>
    <w:uiPriority w:val="39"/>
    <w:unhideWhenUsed/>
    <w:rsid w:val="00435A61"/>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83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iomega/mass-spectral-embeddings-visualiz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2D539-393F-49D2-9380-E4859E214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4</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van Bemmelen</dc:creator>
  <cp:keywords/>
  <dc:description/>
  <cp:lastModifiedBy>Artur van Bemmelen</cp:lastModifiedBy>
  <cp:revision>8</cp:revision>
  <dcterms:created xsi:type="dcterms:W3CDTF">2021-10-29T10:53:00Z</dcterms:created>
  <dcterms:modified xsi:type="dcterms:W3CDTF">2021-11-08T09:14:00Z</dcterms:modified>
</cp:coreProperties>
</file>