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城市运行指挥与数据治理平台项目招标文件（测试样本B）</w:t>
      </w:r>
    </w:p>
    <w:p>
      <w:r>
        <w:t xml:space="preserve">第一章 招标公告</w:t>
      </w:r>
    </w:p>
    <w:p>
      <w:r>
        <w:t xml:space="preserve">项目名称为城市运行指挥与数据治理平台项目，建设环境位于市级政务云资源池，招标范围包括数据接入、治理平台建设、专题驾驶舱开发、接口对接、迁移实施、培训支撑和运维保障等整体服务内容。</w:t>
      </w:r>
    </w:p>
    <w:p>
      <w:r>
        <w:t xml:space="preserve">本项目旨在解决当前城市运行数据来源分散、指标口径不统一、治理规则缺乏沉淀、跨部门事件协同效率不高等问题，构建覆盖数据治理、专题分析、运行监测和事件联动的综合平台。</w:t>
      </w:r>
    </w:p>
    <w:p>
      <w:r>
        <w:t xml:space="preserve">项目总工期要求为合同签订后150个日历日内完成上线试运行，投标人应在方案中明确部门协同机制、数据盘点方法、接口治理策略、专题建设顺序和安全保障安排。</w:t>
      </w:r>
    </w:p>
    <w:p>
      <w:r>
        <w:t xml:space="preserve">本招标文件用于明确项目建设范围、技术要求、服务要求、商务条款、评审方法和履约边界，投标人应在充分理解项目目标、实施环境和合规要求的基础上编制响应文件，并对投标文件的完整性、真实性和一致性负责。</w:t>
      </w:r>
    </w:p>
    <w:p>
      <w:r>
        <w:t xml:space="preserve">投标人应承诺所提供的软件、工具、中间件、接口组件和实施方法具备合法来源与可持续维护能力，不得采用存在权属争议、停止维护或存在重大安全隐患的技术路线。</w:t>
      </w:r>
    </w:p>
    <w:p>
      <w:r>
        <w:t xml:space="preserve">投标人提交的所有技术、商务和报价材料均应相互一致；如同一事项在不同章节表述不一致，以对招标人更为有利且责任界定更为清晰的表述为准。</w:t>
      </w:r>
    </w:p>
    <w:p>
      <w:r>
        <w:t xml:space="preserve">第二章 项目背景与建设目标</w:t>
      </w:r>
    </w:p>
    <w:p>
      <w:r>
        <w:t xml:space="preserve">目前市级各部门已建设若干业务系统和专题平台，但数据目录不统一、血缘关系不清晰、共享交换流程链路较长、指标体系存在重复口径，导致城市运行监测、专题研判和事件督办缺乏统一的数据底座。</w:t>
      </w:r>
    </w:p>
    <w:p>
      <w:r>
        <w:t xml:space="preserve">本次建设目标是建立统一的数据接入规范、统一元数据目录、统一数据质量规则、统一主数据管理体系和统一专题驾驶舱框架，使城市运行管理从“各部门分别报表”转变为“指标统一口径、事件统一流转、问题统一督办”。</w:t>
      </w:r>
    </w:p>
    <w:p>
      <w:r>
        <w:t xml:space="preserve">平台应支持面向领导、部门业务人员、数据管理员和运维人员的多角色工作台，支持在PC端查看专题看板、在移动端接收督办事项、在大屏端展示城市运行态势和重点风险预警。</w:t>
      </w:r>
    </w:p>
    <w:p>
      <w:r>
        <w:t xml:space="preserve">第三章 建设范围与功能要求</w:t>
      </w:r>
    </w:p>
    <w:p>
      <w:r>
        <w:t xml:space="preserve">建设内容应至少包含数据接入、元数据管理、质量治理、主数据管理、共享交换、指标驾驶舱、事件协同、预警督办、权限审计和开放接口管理等模块，投标人可结合成熟产品和行业经验提供增强方案。</w:t>
      </w:r>
    </w:p>
    <w:p>
      <w:r>
        <w:t xml:space="preserve">平台需要对接12345热线平台、行政审批系统、城市管理平台、视频资源汇聚平台、地理信息服务平台、人口库、法人库和信用信息平台，并形成统一接口清单、数据标准映射和联调测试计划。</w:t>
      </w:r>
    </w:p>
    <w:p>
      <w:r>
        <w:t xml:space="preserve">系统应支持日均不少于两千万条数据处理能力，支持不少于800名并发访问用户，重点专题页面在常规网络环境下平均响应时间不高于4秒，质量校验任务应支持按小时、按日和按周多频率执行。</w:t>
      </w:r>
    </w:p>
    <w:p>
      <w:r>
        <w:t xml:space="preserve">平台部署方式以政务云为主，应兼容国产化操作系统、数据库和中间件环境；对涉及跨部门共享的数据链路，应考虑分域授权、脱敏处理、日志审计和异常重试机制。</w:t>
      </w:r>
    </w:p>
    <w:p>
      <w:r>
        <w:t xml:space="preserve">面向目录、标准、规则、指标、主数据和共享申请流程的核心数据，应支持版本管理、变更留痕和审批追踪，确保每项治理动作均有责任主体、执行记录和复核依据。</w:t>
      </w:r>
    </w:p>
    <w:p>
      <w:r>
        <w:t xml:space="preserve">第四章 主要建设模块一览</w:t>
      </w:r>
    </w:p>
    <w:tbl>
      <w:tr>
        <w:tc>
          <w:tcPr>
            <w:tcW w:w="0" w:type="auto"/>
          </w:tcPr>
          <w:p>
            <w:r>
              <w:t xml:space="preserve">建设模块</w:t>
            </w:r>
          </w:p>
        </w:tc>
        <w:tc>
          <w:tcPr>
            <w:tcW w:w="0" w:type="auto"/>
          </w:tcPr>
          <w:p>
            <w:r>
              <w:t xml:space="preserve">建设重点</w:t>
            </w:r>
          </w:p>
        </w:tc>
        <w:tc>
          <w:tcPr>
            <w:tcW w:w="0" w:type="auto"/>
          </w:tcPr>
          <w:p>
            <w:r>
              <w:t xml:space="preserve">预期效果</w:t>
            </w:r>
          </w:p>
        </w:tc>
      </w:tr>
      <w:tr>
        <w:tc>
          <w:tcPr>
            <w:tcW w:w="0" w:type="auto"/>
          </w:tcPr>
          <w:p>
            <w:r>
              <w:t xml:space="preserve">数据接入</w:t>
            </w:r>
          </w:p>
        </w:tc>
        <w:tc>
          <w:tcPr>
            <w:tcW w:w="0" w:type="auto"/>
          </w:tcPr>
          <w:p>
            <w:r>
              <w:t xml:space="preserve">汇聚部门业务数据、主题数据和共享数据</w:t>
            </w:r>
          </w:p>
        </w:tc>
        <w:tc>
          <w:tcPr>
            <w:tcW w:w="0" w:type="auto"/>
          </w:tcPr>
          <w:p>
            <w:r>
              <w:t xml:space="preserve">形成统一接入标准和稳定采集链路</w:t>
            </w:r>
          </w:p>
        </w:tc>
      </w:tr>
      <w:tr>
        <w:tc>
          <w:tcPr>
            <w:tcW w:w="0" w:type="auto"/>
          </w:tcPr>
          <w:p>
            <w:r>
              <w:t xml:space="preserve">元数据管理</w:t>
            </w:r>
          </w:p>
        </w:tc>
        <w:tc>
          <w:tcPr>
            <w:tcW w:w="0" w:type="auto"/>
          </w:tcPr>
          <w:p>
            <w:r>
              <w:t xml:space="preserve">建设目录、血缘、口径和责任归属体系</w:t>
            </w:r>
          </w:p>
        </w:tc>
        <w:tc>
          <w:tcPr>
            <w:tcW w:w="0" w:type="auto"/>
          </w:tcPr>
          <w:p>
            <w:r>
              <w:t xml:space="preserve">实现数据可查、可追、可管</w:t>
            </w:r>
          </w:p>
        </w:tc>
      </w:tr>
      <w:tr>
        <w:tc>
          <w:tcPr>
            <w:tcW w:w="0" w:type="auto"/>
          </w:tcPr>
          <w:p>
            <w:r>
              <w:t xml:space="preserve">质量治理</w:t>
            </w:r>
          </w:p>
        </w:tc>
        <w:tc>
          <w:tcPr>
            <w:tcW w:w="0" w:type="auto"/>
          </w:tcPr>
          <w:p>
            <w:r>
              <w:t xml:space="preserve">建设规则配置、质量评分和问题闭环流程</w:t>
            </w:r>
          </w:p>
        </w:tc>
        <w:tc>
          <w:tcPr>
            <w:tcW w:w="0" w:type="auto"/>
          </w:tcPr>
          <w:p>
            <w:r>
              <w:t xml:space="preserve">持续提升完整性、准确性和及时性</w:t>
            </w:r>
          </w:p>
        </w:tc>
      </w:tr>
      <w:tr>
        <w:tc>
          <w:tcPr>
            <w:tcW w:w="0" w:type="auto"/>
          </w:tcPr>
          <w:p>
            <w:r>
              <w:t xml:space="preserve">指标驾驶舱</w:t>
            </w:r>
          </w:p>
        </w:tc>
        <w:tc>
          <w:tcPr>
            <w:tcW w:w="0" w:type="auto"/>
          </w:tcPr>
          <w:p>
            <w:r>
              <w:t xml:space="preserve">建设主题指标、专题看板和预警机制</w:t>
            </w:r>
          </w:p>
        </w:tc>
        <w:tc>
          <w:tcPr>
            <w:tcW w:w="0" w:type="auto"/>
          </w:tcPr>
          <w:p>
            <w:r>
              <w:t xml:space="preserve">支撑城市运行监测与领导决策分析</w:t>
            </w:r>
          </w:p>
        </w:tc>
      </w:tr>
      <w:tr>
        <w:tc>
          <w:tcPr>
            <w:tcW w:w="0" w:type="auto"/>
          </w:tcPr>
          <w:p>
            <w:r>
              <w:t xml:space="preserve">事件协同</w:t>
            </w:r>
          </w:p>
        </w:tc>
        <w:tc>
          <w:tcPr>
            <w:tcW w:w="0" w:type="auto"/>
          </w:tcPr>
          <w:p>
            <w:r>
              <w:t xml:space="preserve">打通工单分派、处置反馈和跨部门流转</w:t>
            </w:r>
          </w:p>
        </w:tc>
        <w:tc>
          <w:tcPr>
            <w:tcW w:w="0" w:type="auto"/>
          </w:tcPr>
          <w:p>
            <w:r>
              <w:t xml:space="preserve">提升事件发现、派发、督办和回溯能力</w:t>
            </w:r>
          </w:p>
        </w:tc>
      </w:tr>
    </w:tbl>
    <w:p>
      <w:r>
        <w:t xml:space="preserve">第五章 通用实施与项目管理要求</w:t>
      </w:r>
    </w:p>
    <w:p>
      <w:r>
        <w:t xml:space="preserve">投标人应提供覆盖项目经理、技术负责人、实施顾问、测试工程师、运维工程师和培训讲师的完整服务团队，关键岗位人员未经招标人书面同意不得随意更换，确需更换时应提交书面说明、替换人选资历证明及详细交接计划。</w:t>
      </w:r>
    </w:p>
    <w:p>
      <w:r>
        <w:t xml:space="preserve">系统建设过程中形成的需求说明书、总体设计说明书、详细设计说明书、接口说明书、测试报告、部署手册、运维手册、培训材料和验收文档均应纳入交付范围，所有文档应使用可编辑格式并同步提供盖章扫描件。</w:t>
      </w:r>
    </w:p>
    <w:p>
      <w:r>
        <w:t xml:space="preserve">投标方案应遵循安全可控、稳定可靠、先进适用、易于运维、便于扩展的原则，支持模块化部署、分阶段实施和后续平滑升级，不得采用停止维护或存在重大安全隐患的技术路线。</w:t>
      </w:r>
    </w:p>
    <w:p>
      <w:r>
        <w:t xml:space="preserve">涉及用户信息、业务数据、日志数据和接口数据的采集、传输、存储、展示和归档过程，均应满足国家网络安全、数据安全和个人信息保护相关规定，未经招标人授权不得向任何第三方复制、留存、泄露或挪作他用。</w:t>
      </w:r>
    </w:p>
    <w:p>
      <w:r>
        <w:t xml:space="preserve">对于新增需求、范围调整、接口变更和实施条件变化，投标人应建立标准化变更管理机制，提交影响分析、工作量评估、风险说明和建议计划，经招标人书面确认后方可实施。</w:t>
      </w:r>
    </w:p>
    <w:p>
      <w:r>
        <w:t xml:space="preserve">第六章 关键岗位要求表</w:t>
      </w:r>
    </w:p>
    <w:tbl>
      <w:tr>
        <w:tc>
          <w:tcPr>
            <w:tcW w:w="0" w:type="auto"/>
          </w:tcPr>
          <w:p>
            <w:r>
              <w:t xml:space="preserve">关键岗位</w:t>
            </w:r>
          </w:p>
        </w:tc>
        <w:tc>
          <w:tcPr>
            <w:tcW w:w="0" w:type="auto"/>
          </w:tcPr>
          <w:p>
            <w:r>
              <w:t xml:space="preserve">最低配置要求</w:t>
            </w:r>
          </w:p>
        </w:tc>
        <w:tc>
          <w:tcPr>
            <w:tcW w:w="0" w:type="auto"/>
          </w:tcPr>
          <w:p>
            <w:r>
              <w:t xml:space="preserve">主要职责</w:t>
            </w:r>
          </w:p>
        </w:tc>
      </w:tr>
      <w:tr>
        <w:tc>
          <w:tcPr>
            <w:tcW w:w="0" w:type="auto"/>
          </w:tcPr>
          <w:p>
            <w:r>
              <w:t xml:space="preserve">项目经理</w:t>
            </w:r>
          </w:p>
        </w:tc>
        <w:tc>
          <w:tcPr>
            <w:tcW w:w="0" w:type="auto"/>
          </w:tcPr>
          <w:p>
            <w:r>
              <w:t xml:space="preserve">1名，具备五年以上类似项目管理经验</w:t>
            </w:r>
          </w:p>
        </w:tc>
        <w:tc>
          <w:tcPr>
            <w:tcW w:w="0" w:type="auto"/>
          </w:tcPr>
          <w:p>
            <w:r>
              <w:t xml:space="preserve">统筹计划、进度、质量与沟通协调</w:t>
            </w:r>
          </w:p>
        </w:tc>
      </w:tr>
      <w:tr>
        <w:tc>
          <w:tcPr>
            <w:tcW w:w="0" w:type="auto"/>
          </w:tcPr>
          <w:p>
            <w:r>
              <w:t xml:space="preserve">技术负责人</w:t>
            </w:r>
          </w:p>
        </w:tc>
        <w:tc>
          <w:tcPr>
            <w:tcW w:w="0" w:type="auto"/>
          </w:tcPr>
          <w:p>
            <w:r>
              <w:t xml:space="preserve">1名，熟悉总体架构与接口集成</w:t>
            </w:r>
          </w:p>
        </w:tc>
        <w:tc>
          <w:tcPr>
            <w:tcW w:w="0" w:type="auto"/>
          </w:tcPr>
          <w:p>
            <w:r>
              <w:t xml:space="preserve">负责方案设计、技术决策与疑难问题处理</w:t>
            </w:r>
          </w:p>
        </w:tc>
      </w:tr>
      <w:tr>
        <w:tc>
          <w:tcPr>
            <w:tcW w:w="0" w:type="auto"/>
          </w:tcPr>
          <w:p>
            <w:r>
              <w:t xml:space="preserve">测试负责人</w:t>
            </w:r>
          </w:p>
        </w:tc>
        <w:tc>
          <w:tcPr>
            <w:tcW w:w="0" w:type="auto"/>
          </w:tcPr>
          <w:p>
            <w:r>
              <w:t xml:space="preserve">1名，具备完整测试组织能力</w:t>
            </w:r>
          </w:p>
        </w:tc>
        <w:tc>
          <w:tcPr>
            <w:tcW w:w="0" w:type="auto"/>
          </w:tcPr>
          <w:p>
            <w:r>
              <w:t xml:space="preserve">负责测试计划、缺陷闭环与验收支撑</w:t>
            </w:r>
          </w:p>
        </w:tc>
      </w:tr>
      <w:tr>
        <w:tc>
          <w:tcPr>
            <w:tcW w:w="0" w:type="auto"/>
          </w:tcPr>
          <w:p>
            <w:r>
              <w:t xml:space="preserve">运维负责人</w:t>
            </w:r>
          </w:p>
        </w:tc>
        <w:tc>
          <w:tcPr>
            <w:tcW w:w="0" w:type="auto"/>
          </w:tcPr>
          <w:p>
            <w:r>
              <w:t xml:space="preserve">1名，具备平台运维和应急处置经验</w:t>
            </w:r>
          </w:p>
        </w:tc>
        <w:tc>
          <w:tcPr>
            <w:tcW w:w="0" w:type="auto"/>
          </w:tcPr>
          <w:p>
            <w:r>
              <w:t xml:space="preserve">负责发布、监控、备份恢复和服务响应</w:t>
            </w:r>
          </w:p>
        </w:tc>
      </w:tr>
    </w:tbl>
    <w:p>
      <w:r>
        <w:t xml:space="preserve">第七章 实施计划与上线安排</w:t>
      </w:r>
    </w:p>
    <w:p>
      <w:r>
        <w:t xml:space="preserve">投标人应采用“先盘点、后治理、再专题、最终联动”的实施策略，优先完成数据源梳理、目录归集和治理规则落表，再逐步建设指标专题、事件协同和领导驾驶舱，确保底座能力先行、专题能力渐进释放。</w:t>
      </w:r>
    </w:p>
    <w:tbl>
      <w:tr>
        <w:tc>
          <w:tcPr>
            <w:tcW w:w="0" w:type="auto"/>
          </w:tcPr>
          <w:p>
            <w:r>
              <w:t xml:space="preserve">阶段</w:t>
            </w:r>
          </w:p>
        </w:tc>
        <w:tc>
          <w:tcPr>
            <w:tcW w:w="0" w:type="auto"/>
          </w:tcPr>
          <w:p>
            <w:r>
              <w:t xml:space="preserve">周期</w:t>
            </w:r>
          </w:p>
        </w:tc>
        <w:tc>
          <w:tcPr>
            <w:tcW w:w="0" w:type="auto"/>
          </w:tcPr>
          <w:p>
            <w:r>
              <w:t xml:space="preserve">主要产出</w:t>
            </w:r>
          </w:p>
        </w:tc>
      </w:tr>
      <w:tr>
        <w:tc>
          <w:tcPr>
            <w:tcW w:w="0" w:type="auto"/>
          </w:tcPr>
          <w:p>
            <w:r>
              <w:t xml:space="preserve">数据盘点与治理规则梳理</w:t>
            </w:r>
          </w:p>
        </w:tc>
        <w:tc>
          <w:tcPr>
            <w:tcW w:w="0" w:type="auto"/>
          </w:tcPr>
          <w:p>
            <w:r>
              <w:t xml:space="preserve">合同生效后第1至4周</w:t>
            </w:r>
          </w:p>
        </w:tc>
        <w:tc>
          <w:tcPr>
            <w:tcW w:w="0" w:type="auto"/>
          </w:tcPr>
          <w:p>
            <w:r>
              <w:t xml:space="preserve">数据盘点报告、治理规则目录、主数据范围说明</w:t>
            </w:r>
          </w:p>
        </w:tc>
      </w:tr>
      <w:tr>
        <w:tc>
          <w:tcPr>
            <w:tcW w:w="0" w:type="auto"/>
          </w:tcPr>
          <w:p>
            <w:r>
              <w:t xml:space="preserve">平台建设与专题开发</w:t>
            </w:r>
          </w:p>
        </w:tc>
        <w:tc>
          <w:tcPr>
            <w:tcW w:w="0" w:type="auto"/>
          </w:tcPr>
          <w:p>
            <w:r>
              <w:t xml:space="preserve">第5至12周</w:t>
            </w:r>
          </w:p>
        </w:tc>
        <w:tc>
          <w:tcPr>
            <w:tcW w:w="0" w:type="auto"/>
          </w:tcPr>
          <w:p>
            <w:r>
              <w:t xml:space="preserve">治理平台、专题驾驶舱、接口对接记录</w:t>
            </w:r>
          </w:p>
        </w:tc>
      </w:tr>
      <w:tr>
        <w:tc>
          <w:tcPr>
            <w:tcW w:w="0" w:type="auto"/>
          </w:tcPr>
          <w:p>
            <w:r>
              <w:t xml:space="preserve">试运行与专题核验</w:t>
            </w:r>
          </w:p>
        </w:tc>
        <w:tc>
          <w:tcPr>
            <w:tcW w:w="0" w:type="auto"/>
          </w:tcPr>
          <w:p>
            <w:r>
              <w:t xml:space="preserve">第13至17周</w:t>
            </w:r>
          </w:p>
        </w:tc>
        <w:tc>
          <w:tcPr>
            <w:tcW w:w="0" w:type="auto"/>
          </w:tcPr>
          <w:p>
            <w:r>
              <w:t xml:space="preserve">试运行报告、质量评分报告、问题整改说明</w:t>
            </w:r>
          </w:p>
        </w:tc>
      </w:tr>
      <w:tr>
        <w:tc>
          <w:tcPr>
            <w:tcW w:w="0" w:type="auto"/>
          </w:tcPr>
          <w:p>
            <w:r>
              <w:t xml:space="preserve">终验与运维移交</w:t>
            </w:r>
          </w:p>
        </w:tc>
        <w:tc>
          <w:tcPr>
            <w:tcW w:w="0" w:type="auto"/>
          </w:tcPr>
          <w:p>
            <w:r>
              <w:t xml:space="preserve">第18至20周</w:t>
            </w:r>
          </w:p>
        </w:tc>
        <w:tc>
          <w:tcPr>
            <w:tcW w:w="0" w:type="auto"/>
          </w:tcPr>
          <w:p>
            <w:r>
              <w:t xml:space="preserve">验收报告、知识转移材料、运维交接单</w:t>
            </w:r>
          </w:p>
        </w:tc>
      </w:tr>
    </w:tbl>
    <w:p>
      <w:r>
        <w:t xml:space="preserve">试运行期间应建立部门联络机制和问题处理台账，对数据口径差异、共享接口波动、指标异常和专题展示偏差进行联合核验，形成日清、周结和专题复盘制度。</w:t>
      </w:r>
    </w:p>
    <w:p>
      <w:r>
        <w:t xml:space="preserve">若需迁移现有平台中的目录数据、指标口径、主题库结构、规则脚本和历史问题工单，投标人应在实施方案中明确迁移分批策略、校验机制、回退预案和跨部门确认路径。</w:t>
      </w:r>
    </w:p>
    <w:p>
      <w:r>
        <w:t xml:space="preserve">第八章 商务与服务条款</w:t>
      </w:r>
    </w:p>
    <w:p>
      <w:r>
        <w:t xml:space="preserve">项目上线后应提供不少于十二个月的免费质保服务，质保期内对系统缺陷修复、性能优化、配置调整和一般性功能完善不再另行收费，重大紧急故障应在收到通知后二小时内响应、八小时内提出处置方案。</w:t>
      </w:r>
    </w:p>
    <w:p>
      <w:r>
        <w:t xml:space="preserve">项目验收分为环境准备验收、阶段成果验收、试运行验收和最终验收四个环节，各阶段验收均应形成正式记录，对遗留问题列明整改责任人、整改完成时限和复核方式。</w:t>
      </w:r>
    </w:p>
    <w:p>
      <w:r>
        <w:t xml:space="preserve">投标人应提供完整的培训与知识转移方案，至少覆盖管理人员、业务骨干、系统管理员和运维人员四类对象，培训内容应包含业务流程、系统操作、常见故障处理、权限配置、数据备份恢复及安全注意事项。</w:t>
      </w:r>
    </w:p>
    <w:p>
      <w:r>
        <w:t xml:space="preserve">评标委员会将从技术响应完整性、项目理解深度、实施方案可行性、核心团队能力、售后服务承诺、类似项目业绩和投标报价合理性等方面进行综合评审。</w:t>
      </w:r>
    </w:p>
    <w:p>
      <w:r>
        <w:t xml:space="preserve">投标人应在投标文件中对上述条款逐项响应，未明确响应或仅以“满足”“响应”简单表述但缺乏落实路径的内容，视为未充分满足要求。</w:t>
      </w:r>
    </w:p>
    <w:p>
      <w:r>
        <w:t xml:space="preserve">项目付款建议按“20%预付款、40%阶段验收款、30%终验款、10%质保金”的方式执行，投标人如提出其他付款安排，应说明与数据治理长周期工作之间的匹配关系及其风险控制措施。</w:t>
      </w:r>
    </w:p>
    <w:p>
      <w:r>
        <w:t xml:space="preserve">演示环节应重点展示目录管理、数据血缘追踪、质量规则配置、专题驾驶舱联动、事件督办流转和共享申请审批等场景，便于评标委员会判断平台成熟度与治理方法论的完整性。</w:t>
      </w:r>
    </w:p>
    <w:sectPr>
      <w:pgSz w:w="11906" w:h="16838"/>
      <w:pgMar w:top="1440" w:right="1800" w:bottom="1440" w:left="1800" w:header="851" w:footer="992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城市运行指挥与数据治理平台项目招标文件（测试样本B）</dc:title>
  <dc:creator>Codex</dc:creator>
  <cp:lastModifiedBy>Codex</cp:lastModifiedBy>
  <dcterms:created xsi:type="dcterms:W3CDTF">2026-04-22T02:34:08Z</dcterms:created>
  <dcterms:modified xsi:type="dcterms:W3CDTF">2026-04-22T02:34:08Z</dcterms:modified>
</cp:coreProperties>
</file>