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资格要求</w:t>
      </w:r>
    </w:p>
    <w:p>
      <w:r>
        <w:t>供应商须提供本市近三年类似项目业绩不少于 2 个，否则资格审查不通过。</w:t>
      </w:r>
    </w:p>
    <w:p>
      <w:pPr>
        <w:pStyle w:val="Heading1"/>
      </w:pPr>
      <w:r>
        <w:t>评分办法</w:t>
      </w:r>
    </w:p>
    <w:p>
      <w:r>
        <w:t>投标人具有本地服务网点的得 5 分，外地服务团队不得分。</w:t>
      </w:r>
    </w:p>
    <w:p>
      <w:pPr>
        <w:pStyle w:val="Heading1"/>
      </w:pPr>
      <w:r>
        <w:t>合同条款</w:t>
      </w:r>
    </w:p>
    <w:p>
      <w:r>
        <w:t>合同签订后 30 日内完成系统部署并提交验收材料。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