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投标人应具有独立承担民事责任的能力。</w:t>
      </w:r>
    </w:p>
    <w:p>
      <w:r>
        <w:t>文件A独有的第二段内容。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