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投标人应具有独立承担民事责任的能力。</w:t>
      </w:r>
    </w:p>
    <w:p>
      <w:r>
        <w:t>文件B独有的第二段内容。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