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2044" w:sz="1"/>
              <w:left w:val="single" w:color="0F2044" w:sz="1"/>
              <w:bottom w:val="single" w:color="0F2044" w:sz="1"/>
              <w:right w:val="single" w:color="0F2044" w:sz="1"/>
            </w:tcBorders>
            <w:shd w:fill="0F2044" w:val="clear"/>
            <w:tcMar>
              <w:top w:type="dxa" w:w="700"/>
              <w:left w:type="dxa" w:w="700"/>
              <w:bottom w:type="dxa" w:w="700"/>
              <w:right w:type="dxa" w:w="700"/>
            </w:tcMar>
          </w:tcPr>
          <w:p>
            <w:pPr>
              <w:spacing w:after="60"/>
              <w:jc w:val="center"/>
            </w:pPr>
            <w:r>
              <w:rPr>
                <w:rFonts w:ascii="Roboto" w:cs="Roboto" w:eastAsia="Roboto" w:hAnsi="Roboto"/>
                <w:b/>
                <w:bCs/>
                <w:color w:val="0D9E9E"/>
                <w:sz w:val="120"/>
                <w:szCs w:val="120"/>
              </w:rPr>
              <w:t xml:space="preserve">ION</w:t>
            </w:r>
          </w:p>
          <w:p>
            <w:pPr>
              <w:spacing w:after="60"/>
              <w:jc w:val="center"/>
            </w:pPr>
            <w:r>
              <w:rPr>
                <w:rFonts w:ascii="Roboto" w:cs="Roboto" w:eastAsia="Roboto" w:hAnsi="Roboto"/>
                <w:b/>
                <w:bCs/>
                <w:color w:val="FFFFFF"/>
                <w:sz w:val="48"/>
                <w:szCs w:val="48"/>
              </w:rPr>
              <w:t xml:space="preserve">Indonesia Open Network</w:t>
            </w:r>
          </w:p>
          <w:p>
            <w:pPr>
              <w:spacing w:after="400"/>
              <w:jc w:val="center"/>
            </w:pPr>
            <w:r>
              <w:rPr>
                <w:rFonts w:ascii="Roboto" w:cs="Roboto" w:eastAsia="Roboto" w:hAnsi="Roboto"/>
                <w:color w:val="9DB4CC"/>
                <w:sz w:val="26"/>
                <w:szCs w:val="26"/>
              </w:rPr>
              <w:t xml:space="preserve">Network Design: Architecture, Components &amp; Operating Principles</w:t>
            </w:r>
          </w:p>
          <w:p>
            <w:pPr>
              <w:spacing w:after="60"/>
              <w:jc w:val="center"/>
            </w:pPr>
            <w:r>
              <w:rPr>
                <w:rFonts w:ascii="Roboto" w:cs="Roboto" w:eastAsia="Roboto" w:hAnsi="Roboto"/>
                <w:color w:val="CBD5E1"/>
                <w:sz w:val="19"/>
                <w:szCs w:val="19"/>
              </w:rPr>
              <w:t xml:space="preserve">Version 0.1  </w:t>
            </w:r>
            <w:r>
              <w:rPr>
                <w:rFonts w:ascii="Roboto" w:cs="Roboto" w:eastAsia="Roboto" w:hAnsi="Roboto"/>
                <w:color w:val="0D9E9E"/>
                <w:sz w:val="19"/>
                <w:szCs w:val="19"/>
              </w:rPr>
              <w:t xml:space="preserve">·</w:t>
            </w:r>
            <w:r>
              <w:rPr>
                <w:rFonts w:ascii="Roboto" w:cs="Roboto" w:eastAsia="Roboto" w:hAnsi="Roboto"/>
                <w:color w:val="CBD5E1"/>
                <w:sz w:val="19"/>
                <w:szCs w:val="19"/>
              </w:rPr>
              <w:t xml:space="preserve">  March 2026  </w:t>
            </w:r>
            <w:r>
              <w:rPr>
                <w:rFonts w:ascii="Roboto" w:cs="Roboto" w:eastAsia="Roboto" w:hAnsi="Roboto"/>
                <w:color w:val="0D9E9E"/>
                <w:sz w:val="19"/>
                <w:szCs w:val="19"/>
              </w:rPr>
              <w:t xml:space="preserve">·</w:t>
            </w:r>
            <w:r>
              <w:rPr>
                <w:rFonts w:ascii="Roboto" w:cs="Roboto" w:eastAsia="Roboto" w:hAnsi="Roboto"/>
                <w:color w:val="CBD5E1"/>
                <w:sz w:val="19"/>
                <w:szCs w:val="19"/>
              </w:rPr>
              <w:t xml:space="preserve">  Working Document</w:t>
            </w:r>
          </w:p>
          <w:p>
            <w:pPr>
              <w:spacing w:after="0"/>
              <w:jc w:val="center"/>
            </w:pPr>
            <w:r>
              <w:rPr>
                <w:rFonts w:ascii="Roboto" w:cs="Roboto" w:eastAsia="Roboto" w:hAnsi="Roboto"/>
                <w:b/>
                <w:bCs/>
                <w:color w:val="C47A00"/>
                <w:sz w:val="17"/>
                <w:szCs w:val="17"/>
              </w:rPr>
              <w:t xml:space="preserve">NOT FOR EXTERNAL DISTRIBUTION</w:t>
            </w:r>
          </w:p>
        </w:tc>
      </w:tr>
    </w:tbl>
    <w:p>
      <w:pPr>
        <w:spacing w:before="30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A7373" w:sz="1"/>
              <w:left w:val="single" w:color="0A7373" w:sz="14"/>
              <w:bottom w:val="single" w:color="0A7373" w:sz="1"/>
              <w:right w:val="single" w:color="0A7373" w:sz="1"/>
            </w:tcBorders>
            <w:shd w:fill="E6F4F4" w:val="clear"/>
            <w:tcMar>
              <w:top w:type="dxa" w:w="130"/>
              <w:left w:type="dxa" w:w="220"/>
              <w:bottom w:type="dxa" w:w="130"/>
              <w:right w:type="dxa" w:w="220"/>
            </w:tcMar>
          </w:tcPr>
          <w:p>
            <w:pPr>
              <w:spacing w:after="50"/>
            </w:pPr>
            <w:r>
              <w:rPr>
                <w:rFonts w:ascii="Roboto" w:cs="Roboto" w:eastAsia="Roboto" w:hAnsi="Roboto"/>
                <w:b/>
                <w:bCs/>
                <w:color w:val="0A7373"/>
                <w:sz w:val="19"/>
                <w:szCs w:val="19"/>
              </w:rPr>
              <w:t xml:space="preserve">About This Document</w:t>
            </w:r>
          </w:p>
          <w:p>
            <w:r>
              <w:rPr>
                <w:rFonts w:ascii="Roboto" w:cs="Roboto" w:eastAsia="Roboto" w:hAnsi="Roboto"/>
                <w:color w:val="0F172A"/>
                <w:sz w:val="19"/>
                <w:szCs w:val="19"/>
              </w:rPr>
              <w:t xml:space="preserve">This is the foundational architecture reference for ION. It defines the principles, transaction lifecycle, component blueprint, cross-cutting concerns, and open questions that govern all architectural decisions on the network. Every subsequent technical specification, TSP brief, vendor contract, and integration guide should be traceable back to this document. Retail commerce is used as the illustrative transaction flow. Other sectors follow the same architectural pattern with sector-specific configuration at the NP Node level.</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2044" w:sz="1"/>
              <w:left w:val="single" w:color="0F2044" w:sz="1"/>
              <w:bottom w:val="single" w:color="0F2044" w:sz="1"/>
              <w:right w:val="single" w:color="0F2044" w:sz="1"/>
            </w:tcBorders>
            <w:shd w:fill="0F2044" w:val="clear"/>
            <w:tcMar>
              <w:top w:type="dxa" w:w="110"/>
              <w:left w:type="dxa" w:w="240"/>
              <w:bottom w:type="dxa" w:w="110"/>
              <w:right w:type="dxa" w:w="240"/>
            </w:tcMar>
          </w:tcPr>
          <w:p>
            <w:r>
              <w:rPr>
                <w:rFonts w:ascii="Roboto" w:cs="Roboto" w:eastAsia="Roboto" w:hAnsi="Roboto"/>
                <w:b/>
                <w:bCs/>
                <w:color w:val="FFFFFF"/>
                <w:sz w:val="24"/>
                <w:szCs w:val="24"/>
              </w:rPr>
              <w:t xml:space="preserve">0.  HOW TO USE THIS DOCUMENT</w:t>
            </w:r>
          </w:p>
        </w:tc>
      </w:tr>
    </w:tbl>
    <w:p>
      <w:pPr>
        <w:spacing w:before="12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This document is structured in layers. A reader can stop at any layer depending on their role. The table below maps reader type to the sections most relevant to them.</w:t>
      </w:r>
    </w:p>
    <w:p>
      <w:pPr>
        <w:spacing w:before="10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880"/>
      </w:tblGrid>
      <w:tr>
        <w:tc>
          <w:tcPr>
            <w:tcW w:type="dxa" w:w="24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Reader</w:t>
            </w:r>
          </w:p>
        </w:tc>
        <w:tc>
          <w:tcPr>
            <w:tcW w:type="dxa" w:w="18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Sections</w:t>
            </w:r>
          </w:p>
        </w:tc>
        <w:tc>
          <w:tcPr>
            <w:tcW w:type="dxa" w:w="588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What They Will Get</w:t>
            </w:r>
          </w:p>
        </w:tc>
      </w:tr>
      <w:tr>
        <w:tc>
          <w:tcPr>
            <w:tcW w:type="dxa" w:w="240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bCs/>
                <w:color w:val="0F2044"/>
                <w:sz w:val="19"/>
                <w:szCs w:val="19"/>
              </w:rPr>
              <w:t xml:space="preserve">ION Leadership / Board</w:t>
            </w:r>
          </w:p>
        </w:tc>
        <w:tc>
          <w:tcPr>
            <w:tcW w:type="dxa" w:w="180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bCs/>
                <w:color w:val="0A7373"/>
                <w:sz w:val="19"/>
                <w:szCs w:val="19"/>
              </w:rPr>
              <w:t xml:space="preserve">1, 2, 5</w:t>
            </w:r>
          </w:p>
        </w:tc>
        <w:tc>
          <w:tcPr>
            <w:tcW w:type="dxa" w:w="588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Principles, network shape, and cross-cutting concerns — the strategic architecture decisions.</w:t>
            </w:r>
          </w:p>
        </w:tc>
      </w:tr>
      <w:tr>
        <w:tc>
          <w:tcPr>
            <w:tcW w:type="dxa" w:w="240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bCs/>
                <w:color w:val="0F2044"/>
                <w:sz w:val="19"/>
                <w:szCs w:val="19"/>
              </w:rPr>
              <w:t xml:space="preserve">TSP Technical Leads</w:t>
            </w:r>
          </w:p>
        </w:tc>
        <w:tc>
          <w:tcPr>
            <w:tcW w:type="dxa" w:w="180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bCs/>
                <w:color w:val="0A7373"/>
                <w:sz w:val="19"/>
                <w:szCs w:val="19"/>
              </w:rPr>
              <w:t xml:space="preserve">1, 2, 3, 4, 6, 7</w:t>
            </w:r>
          </w:p>
        </w:tc>
        <w:tc>
          <w:tcPr>
            <w:tcW w:type="dxa" w:w="588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Full transaction flow, complete component blueprint, ION Core scope, and NP Node / Plug specification.</w:t>
            </w:r>
          </w:p>
        </w:tc>
      </w:tr>
      <w:tr>
        <w:tc>
          <w:tcPr>
            <w:tcW w:type="dxa" w:w="240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bCs/>
                <w:color w:val="0F2044"/>
                <w:sz w:val="19"/>
                <w:szCs w:val="19"/>
              </w:rPr>
              <w:t xml:space="preserve">Sector Teams / Product</w:t>
            </w:r>
          </w:p>
        </w:tc>
        <w:tc>
          <w:tcPr>
            <w:tcW w:type="dxa" w:w="180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bCs/>
                <w:color w:val="0A7373"/>
                <w:sz w:val="19"/>
                <w:szCs w:val="19"/>
              </w:rPr>
              <w:t xml:space="preserve">2, 3, 5</w:t>
            </w:r>
          </w:p>
        </w:tc>
        <w:tc>
          <w:tcPr>
            <w:tcW w:type="dxa" w:w="588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Network overview, the retail transaction flow, and how cross-cutting concerns affect sector design.</w:t>
            </w:r>
          </w:p>
        </w:tc>
      </w:tr>
      <w:tr>
        <w:tc>
          <w:tcPr>
            <w:tcW w:type="dxa" w:w="240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bCs/>
                <w:color w:val="0F2044"/>
                <w:sz w:val="19"/>
                <w:szCs w:val="19"/>
              </w:rPr>
              <w:t xml:space="preserve">Implementation Partners</w:t>
            </w:r>
          </w:p>
        </w:tc>
        <w:tc>
          <w:tcPr>
            <w:tcW w:type="dxa" w:w="180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bCs/>
                <w:color w:val="0A7373"/>
                <w:sz w:val="19"/>
                <w:szCs w:val="19"/>
              </w:rPr>
              <w:t xml:space="preserve">4, 6, 7</w:t>
            </w:r>
          </w:p>
        </w:tc>
        <w:tc>
          <w:tcPr>
            <w:tcW w:type="dxa" w:w="588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Component blueprint, ION Core operational scope, and NP Node specification.</w:t>
            </w:r>
          </w:p>
        </w:tc>
      </w:tr>
      <w:tr>
        <w:tc>
          <w:tcPr>
            <w:tcW w:type="dxa" w:w="240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bCs/>
                <w:color w:val="0F2044"/>
                <w:sz w:val="19"/>
                <w:szCs w:val="19"/>
              </w:rPr>
              <w:t xml:space="preserve">Regulatory / Legal</w:t>
            </w:r>
          </w:p>
        </w:tc>
        <w:tc>
          <w:tcPr>
            <w:tcW w:type="dxa" w:w="180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bCs/>
                <w:color w:val="0A7373"/>
                <w:sz w:val="19"/>
                <w:szCs w:val="19"/>
              </w:rPr>
              <w:t xml:space="preserve">1, 3, 5</w:t>
            </w:r>
          </w:p>
        </w:tc>
        <w:tc>
          <w:tcPr>
            <w:tcW w:type="dxa" w:w="588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Principles, transaction flow as a legal audit trail, and the governance and language concerns.</w:t>
            </w:r>
          </w:p>
        </w:tc>
      </w:tr>
      <w:tr>
        <w:tc>
          <w:tcPr>
            <w:tcW w:type="dxa" w:w="240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bCs/>
                <w:color w:val="0F2044"/>
                <w:sz w:val="19"/>
                <w:szCs w:val="19"/>
              </w:rPr>
              <w:t xml:space="preserve">Developers / Integrators</w:t>
            </w:r>
          </w:p>
        </w:tc>
        <w:tc>
          <w:tcPr>
            <w:tcW w:type="dxa" w:w="180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bCs/>
                <w:color w:val="0A7373"/>
                <w:sz w:val="19"/>
                <w:szCs w:val="19"/>
              </w:rPr>
              <w:t xml:space="preserve">2, 4, 6, 7</w:t>
            </w:r>
          </w:p>
        </w:tc>
        <w:tc>
          <w:tcPr>
            <w:tcW w:type="dxa" w:w="588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Architecture overview, component blueprint, and NP Node / Plug specification.</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2044" w:sz="1"/>
              <w:left w:val="single" w:color="0F2044" w:sz="1"/>
              <w:bottom w:val="single" w:color="0F2044" w:sz="1"/>
              <w:right w:val="single" w:color="0F2044" w:sz="1"/>
            </w:tcBorders>
            <w:shd w:fill="0F2044" w:val="clear"/>
            <w:tcMar>
              <w:top w:type="dxa" w:w="110"/>
              <w:left w:type="dxa" w:w="240"/>
              <w:bottom w:type="dxa" w:w="110"/>
              <w:right w:type="dxa" w:w="240"/>
            </w:tcMar>
          </w:tcPr>
          <w:p>
            <w:r>
              <w:rPr>
                <w:rFonts w:ascii="Roboto" w:cs="Roboto" w:eastAsia="Roboto" w:hAnsi="Roboto"/>
                <w:b/>
                <w:bCs/>
                <w:color w:val="FFFFFF"/>
                <w:sz w:val="24"/>
                <w:szCs w:val="24"/>
              </w:rPr>
              <w:t xml:space="preserve">1.  PRINCIPLES</w:t>
            </w:r>
          </w:p>
        </w:tc>
      </w:tr>
    </w:tbl>
    <w:p>
      <w:pPr>
        <w:spacing w:before="12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The following nine principles are the architectural guardrails for ION. Every component decision, governance model, and implementation choice in this document is derived from these principles. They are not preferences — they are constraints. Any proposal that conflicts with a principle requires an explicit decision to revise the principle, not to work around it.</w:t>
      </w:r>
    </w:p>
    <w:p>
      <w:pPr>
        <w:spacing w:before="12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
        <w:gridCol w:w="2600"/>
        <w:gridCol w:w="7140"/>
      </w:tblGrid>
      <w:tr>
        <w:tc>
          <w:tcPr>
            <w:tcW w:type="dxa" w:w="34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w:t>
            </w:r>
          </w:p>
        </w:tc>
        <w:tc>
          <w:tcPr>
            <w:tcW w:type="dxa" w:w="26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Principle</w:t>
            </w:r>
          </w:p>
        </w:tc>
        <w:tc>
          <w:tcPr>
            <w:tcW w:type="dxa" w:w="714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Statement</w:t>
            </w:r>
          </w:p>
        </w:tc>
      </w:tr>
      <w:tr>
        <w:tc>
          <w:tcPr>
            <w:tcW w:type="dxa" w:w="34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20"/>
                <w:szCs w:val="20"/>
              </w:rPr>
              <w:t xml:space="preserve">1</w:t>
            </w:r>
          </w:p>
        </w:tc>
        <w:tc>
          <w:tcPr>
            <w:tcW w:type="dxa" w:w="2600"/>
            <w:tcBorders>
              <w:top w:val="single" w:color="CBD5E1" w:sz="1"/>
              <w:left w:val="single" w:color="CBD5E1" w:sz="1"/>
              <w:bottom w:val="single" w:color="CBD5E1" w:sz="1"/>
              <w:right w:val="single" w:color="CBD5E1" w:sz="1"/>
            </w:tcBorders>
            <w:shd w:fill="E6F4F4" w:val="clear"/>
            <w:tcMar>
              <w:top w:type="dxa" w:w="80"/>
              <w:left w:type="dxa" w:w="140"/>
              <w:bottom w:type="dxa" w:w="80"/>
              <w:right w:type="dxa" w:w="140"/>
            </w:tcMar>
          </w:tcPr>
          <w:p>
            <w:r>
              <w:rPr>
                <w:rFonts w:ascii="Roboto" w:cs="Roboto" w:eastAsia="Roboto" w:hAnsi="Roboto"/>
                <w:b/>
                <w:bCs/>
                <w:color w:val="0A7373"/>
                <w:sz w:val="19"/>
                <w:szCs w:val="19"/>
              </w:rPr>
              <w:t xml:space="preserve">Thin Core, Smart Edge</w:t>
            </w:r>
          </w:p>
        </w:tc>
        <w:tc>
          <w:tcPr>
            <w:tcW w:type="dxa" w:w="7140"/>
            <w:tcBorders>
              <w:top w:val="single" w:color="CBD5E1" w:sz="1"/>
              <w:left w:val="single" w:color="CBD5E1" w:sz="1"/>
              <w:bottom w:val="single" w:color="CBD5E1" w:sz="1"/>
              <w:right w:val="single" w:color="CBD5E1" w:sz="1"/>
            </w:tcBorders>
            <w:shd w:fill="E6F4F4" w:val="clear"/>
            <w:tcMar>
              <w:top w:type="dxa" w:w="80"/>
              <w:left w:type="dxa" w:w="140"/>
              <w:bottom w:type="dxa" w:w="80"/>
              <w:right w:type="dxa" w:w="140"/>
            </w:tcMar>
          </w:tcPr>
          <w:p>
            <w:r>
              <w:rPr>
                <w:rFonts w:ascii="Roboto" w:cs="Roboto" w:eastAsia="Roboto" w:hAnsi="Roboto"/>
                <w:color w:val="0F172A"/>
                <w:sz w:val="19"/>
                <w:szCs w:val="19"/>
              </w:rPr>
              <w:t xml:space="preserve">ION Core should be as thin as possible. Intelligence and processing live at the NP Node wherever data sovereignty or scale allow.</w:t>
            </w:r>
          </w:p>
        </w:tc>
      </w:tr>
      <w:tr>
        <w:tc>
          <w:tcPr>
            <w:tcW w:type="dxa" w:w="34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20"/>
                <w:szCs w:val="20"/>
              </w:rPr>
              <w:t xml:space="preserve">2</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b/>
                <w:bCs/>
                <w:color w:val="0A7373"/>
                <w:sz w:val="19"/>
                <w:szCs w:val="19"/>
              </w:rPr>
              <w:t xml:space="preserve">Signals Over Payloads</w:t>
            </w:r>
          </w:p>
        </w:tc>
        <w:tc>
          <w:tcPr>
            <w:tcW w:type="dxa" w:w="71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Central infrastructure receives only the minimum data needed for governance — signals, not full transaction payloads. Sensitive data stays at the NP.</w:t>
            </w:r>
          </w:p>
        </w:tc>
      </w:tr>
      <w:tr>
        <w:tc>
          <w:tcPr>
            <w:tcW w:type="dxa" w:w="34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20"/>
                <w:szCs w:val="20"/>
              </w:rPr>
              <w:t xml:space="preserve">3</w:t>
            </w:r>
          </w:p>
        </w:tc>
        <w:tc>
          <w:tcPr>
            <w:tcW w:type="dxa" w:w="2600"/>
            <w:tcBorders>
              <w:top w:val="single" w:color="CBD5E1" w:sz="1"/>
              <w:left w:val="single" w:color="CBD5E1" w:sz="1"/>
              <w:bottom w:val="single" w:color="CBD5E1" w:sz="1"/>
              <w:right w:val="single" w:color="CBD5E1" w:sz="1"/>
            </w:tcBorders>
            <w:shd w:fill="E6F4F4" w:val="clear"/>
            <w:tcMar>
              <w:top w:type="dxa" w:w="80"/>
              <w:left w:type="dxa" w:w="140"/>
              <w:bottom w:type="dxa" w:w="80"/>
              <w:right w:type="dxa" w:w="140"/>
            </w:tcMar>
          </w:tcPr>
          <w:p>
            <w:r>
              <w:rPr>
                <w:rFonts w:ascii="Roboto" w:cs="Roboto" w:eastAsia="Roboto" w:hAnsi="Roboto"/>
                <w:b/>
                <w:bCs/>
                <w:color w:val="0A7373"/>
                <w:sz w:val="19"/>
                <w:szCs w:val="19"/>
              </w:rPr>
              <w:t xml:space="preserve">Design for Failure Isolation</w:t>
            </w:r>
          </w:p>
        </w:tc>
        <w:tc>
          <w:tcPr>
            <w:tcW w:type="dxa" w:w="7140"/>
            <w:tcBorders>
              <w:top w:val="single" w:color="CBD5E1" w:sz="1"/>
              <w:left w:val="single" w:color="CBD5E1" w:sz="1"/>
              <w:bottom w:val="single" w:color="CBD5E1" w:sz="1"/>
              <w:right w:val="single" w:color="CBD5E1" w:sz="1"/>
            </w:tcBorders>
            <w:shd w:fill="E6F4F4" w:val="clear"/>
            <w:tcMar>
              <w:top w:type="dxa" w:w="80"/>
              <w:left w:type="dxa" w:w="140"/>
              <w:bottom w:type="dxa" w:w="80"/>
              <w:right w:type="dxa" w:w="140"/>
            </w:tcMar>
          </w:tcPr>
          <w:p>
            <w:r>
              <w:rPr>
                <w:rFonts w:ascii="Roboto" w:cs="Roboto" w:eastAsia="Roboto" w:hAnsi="Roboto"/>
                <w:color w:val="0F172A"/>
                <w:sz w:val="19"/>
                <w:szCs w:val="19"/>
              </w:rPr>
              <w:t xml:space="preserve">Every architectural decision must be evaluated against: if this component fails, what goes down? Acceptable: one NP's operations. Unacceptable: the whole network.</w:t>
            </w:r>
          </w:p>
        </w:tc>
      </w:tr>
      <w:tr>
        <w:tc>
          <w:tcPr>
            <w:tcW w:type="dxa" w:w="34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20"/>
                <w:szCs w:val="20"/>
              </w:rPr>
              <w:t xml:space="preserve">4</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b/>
                <w:bCs/>
                <w:color w:val="0A7373"/>
                <w:sz w:val="19"/>
                <w:szCs w:val="19"/>
              </w:rPr>
              <w:t xml:space="preserve">Greenfield Means Enforce Standards Early</w:t>
            </w:r>
          </w:p>
        </w:tc>
        <w:tc>
          <w:tcPr>
            <w:tcW w:type="dxa" w:w="71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The most expensive technical debt in open networks is protocol fragmentation. ION must enforce standardised Plug specs as a hard condition of participation, not a recommendation.</w:t>
            </w:r>
          </w:p>
        </w:tc>
      </w:tr>
      <w:tr>
        <w:tc>
          <w:tcPr>
            <w:tcW w:type="dxa" w:w="34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20"/>
                <w:szCs w:val="20"/>
              </w:rPr>
              <w:t xml:space="preserve">5</w:t>
            </w:r>
          </w:p>
        </w:tc>
        <w:tc>
          <w:tcPr>
            <w:tcW w:type="dxa" w:w="2600"/>
            <w:tcBorders>
              <w:top w:val="single" w:color="CBD5E1" w:sz="1"/>
              <w:left w:val="single" w:color="CBD5E1" w:sz="1"/>
              <w:bottom w:val="single" w:color="CBD5E1" w:sz="1"/>
              <w:right w:val="single" w:color="CBD5E1" w:sz="1"/>
            </w:tcBorders>
            <w:shd w:fill="E6F4F4" w:val="clear"/>
            <w:tcMar>
              <w:top w:type="dxa" w:w="80"/>
              <w:left w:type="dxa" w:w="140"/>
              <w:bottom w:type="dxa" w:w="80"/>
              <w:right w:type="dxa" w:w="140"/>
            </w:tcMar>
          </w:tcPr>
          <w:p>
            <w:r>
              <w:rPr>
                <w:rFonts w:ascii="Roboto" w:cs="Roboto" w:eastAsia="Roboto" w:hAnsi="Roboto"/>
                <w:b/>
                <w:bCs/>
                <w:color w:val="0A7373"/>
                <w:sz w:val="19"/>
                <w:szCs w:val="19"/>
              </w:rPr>
              <w:t xml:space="preserve">Non-repudiation as Foundation</w:t>
            </w:r>
          </w:p>
        </w:tc>
        <w:tc>
          <w:tcPr>
            <w:tcW w:type="dxa" w:w="7140"/>
            <w:tcBorders>
              <w:top w:val="single" w:color="CBD5E1" w:sz="1"/>
              <w:left w:val="single" w:color="CBD5E1" w:sz="1"/>
              <w:bottom w:val="single" w:color="CBD5E1" w:sz="1"/>
              <w:right w:val="single" w:color="CBD5E1" w:sz="1"/>
            </w:tcBorders>
            <w:shd w:fill="E6F4F4" w:val="clear"/>
            <w:tcMar>
              <w:top w:type="dxa" w:w="80"/>
              <w:left w:type="dxa" w:w="140"/>
              <w:bottom w:type="dxa" w:w="80"/>
              <w:right w:type="dxa" w:w="140"/>
            </w:tcMar>
          </w:tcPr>
          <w:p>
            <w:r>
              <w:rPr>
                <w:rFonts w:ascii="Roboto" w:cs="Roboto" w:eastAsia="Roboto" w:hAnsi="Roboto"/>
                <w:color w:val="0F172A"/>
                <w:sz w:val="19"/>
                <w:szCs w:val="19"/>
              </w:rPr>
              <w:t xml:space="preserve">Anything that resolves a dispute or enforces a contract must be central and neutral. Anything that creates participant value can be distributed. Non-repudiation is the deciding test.</w:t>
            </w:r>
          </w:p>
        </w:tc>
      </w:tr>
      <w:tr>
        <w:tc>
          <w:tcPr>
            <w:tcW w:type="dxa" w:w="34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20"/>
                <w:szCs w:val="20"/>
              </w:rPr>
              <w:t xml:space="preserve">6</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b/>
                <w:bCs/>
                <w:color w:val="0A7373"/>
                <w:sz w:val="19"/>
                <w:szCs w:val="19"/>
              </w:rPr>
              <w:t xml:space="preserve">English as Implementation, Bahasa as Law</w:t>
            </w:r>
          </w:p>
        </w:tc>
        <w:tc>
          <w:tcPr>
            <w:tcW w:type="dxa" w:w="71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All APIs, schemas, and developer-facing artefacts are English-canonical. All legal, regulatory, and contract-of-record artefacts are Bahasa Indonesia authoritative.</w:t>
            </w:r>
          </w:p>
        </w:tc>
      </w:tr>
      <w:tr>
        <w:tc>
          <w:tcPr>
            <w:tcW w:type="dxa" w:w="34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20"/>
                <w:szCs w:val="20"/>
              </w:rPr>
              <w:t xml:space="preserve">7</w:t>
            </w:r>
          </w:p>
        </w:tc>
        <w:tc>
          <w:tcPr>
            <w:tcW w:type="dxa" w:w="2600"/>
            <w:tcBorders>
              <w:top w:val="single" w:color="CBD5E1" w:sz="1"/>
              <w:left w:val="single" w:color="CBD5E1" w:sz="1"/>
              <w:bottom w:val="single" w:color="CBD5E1" w:sz="1"/>
              <w:right w:val="single" w:color="CBD5E1" w:sz="1"/>
            </w:tcBorders>
            <w:shd w:fill="E6F4F4" w:val="clear"/>
            <w:tcMar>
              <w:top w:type="dxa" w:w="80"/>
              <w:left w:type="dxa" w:w="140"/>
              <w:bottom w:type="dxa" w:w="80"/>
              <w:right w:type="dxa" w:w="140"/>
            </w:tcMar>
          </w:tcPr>
          <w:p>
            <w:r>
              <w:rPr>
                <w:rFonts w:ascii="Roboto" w:cs="Roboto" w:eastAsia="Roboto" w:hAnsi="Roboto"/>
                <w:b/>
                <w:bCs/>
                <w:color w:val="0A7373"/>
                <w:sz w:val="19"/>
                <w:szCs w:val="19"/>
              </w:rPr>
              <w:t xml:space="preserve">Three-Tier Terms Hierarchy</w:t>
            </w:r>
          </w:p>
        </w:tc>
        <w:tc>
          <w:tcPr>
            <w:tcW w:type="dxa" w:w="7140"/>
            <w:tcBorders>
              <w:top w:val="single" w:color="CBD5E1" w:sz="1"/>
              <w:left w:val="single" w:color="CBD5E1" w:sz="1"/>
              <w:bottom w:val="single" w:color="CBD5E1" w:sz="1"/>
              <w:right w:val="single" w:color="CBD5E1" w:sz="1"/>
            </w:tcBorders>
            <w:shd w:fill="E6F4F4" w:val="clear"/>
            <w:tcMar>
              <w:top w:type="dxa" w:w="80"/>
              <w:left w:type="dxa" w:w="140"/>
              <w:bottom w:type="dxa" w:w="80"/>
              <w:right w:type="dxa" w:w="140"/>
            </w:tcMar>
          </w:tcPr>
          <w:p>
            <w:r>
              <w:rPr>
                <w:rFonts w:ascii="Roboto" w:cs="Roboto" w:eastAsia="Roboto" w:hAnsi="Roboto"/>
                <w:color w:val="0F172A"/>
                <w:sz w:val="19"/>
                <w:szCs w:val="19"/>
              </w:rPr>
              <w:t xml:space="preserve">Network Static Terms (Tier 1) cannot be overridden by anyone. Sector Static Terms (Tier 2) can be extended but not contradicted by TLC. TLC (Tier 3) operates only in the space Tier 2 leaves open.</w:t>
            </w:r>
          </w:p>
        </w:tc>
      </w:tr>
      <w:tr>
        <w:tc>
          <w:tcPr>
            <w:tcW w:type="dxa" w:w="34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20"/>
                <w:szCs w:val="20"/>
              </w:rPr>
              <w:t xml:space="preserve">8</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b/>
                <w:bCs/>
                <w:color w:val="0A7373"/>
                <w:sz w:val="19"/>
                <w:szCs w:val="19"/>
              </w:rPr>
              <w:t xml:space="preserve">AI Readiness Through Data Architecture</w:t>
            </w:r>
          </w:p>
        </w:tc>
        <w:tc>
          <w:tcPr>
            <w:tcW w:type="dxa" w:w="71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Do not design AI features yet. Design the signal schema and observability layer to be rich enough that AI models can be trained in Year 2 or 3.</w:t>
            </w:r>
          </w:p>
        </w:tc>
      </w:tr>
      <w:tr>
        <w:tc>
          <w:tcPr>
            <w:tcW w:type="dxa" w:w="34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20"/>
                <w:szCs w:val="20"/>
              </w:rPr>
              <w:t xml:space="preserve">9</w:t>
            </w:r>
          </w:p>
        </w:tc>
        <w:tc>
          <w:tcPr>
            <w:tcW w:type="dxa" w:w="2600"/>
            <w:tcBorders>
              <w:top w:val="single" w:color="CBD5E1" w:sz="1"/>
              <w:left w:val="single" w:color="CBD5E1" w:sz="1"/>
              <w:bottom w:val="single" w:color="CBD5E1" w:sz="1"/>
              <w:right w:val="single" w:color="CBD5E1" w:sz="1"/>
            </w:tcBorders>
            <w:shd w:fill="E6F4F4" w:val="clear"/>
            <w:tcMar>
              <w:top w:type="dxa" w:w="80"/>
              <w:left w:type="dxa" w:w="140"/>
              <w:bottom w:type="dxa" w:w="80"/>
              <w:right w:type="dxa" w:w="140"/>
            </w:tcMar>
          </w:tcPr>
          <w:p>
            <w:r>
              <w:rPr>
                <w:rFonts w:ascii="Roboto" w:cs="Roboto" w:eastAsia="Roboto" w:hAnsi="Roboto"/>
                <w:b/>
                <w:bCs/>
                <w:color w:val="0A7373"/>
                <w:sz w:val="19"/>
                <w:szCs w:val="19"/>
              </w:rPr>
              <w:t xml:space="preserve">Multi-domain by Configuration, Not by Code</w:t>
            </w:r>
          </w:p>
        </w:tc>
        <w:tc>
          <w:tcPr>
            <w:tcW w:type="dxa" w:w="7140"/>
            <w:tcBorders>
              <w:top w:val="single" w:color="CBD5E1" w:sz="1"/>
              <w:left w:val="single" w:color="CBD5E1" w:sz="1"/>
              <w:bottom w:val="single" w:color="CBD5E1" w:sz="1"/>
              <w:right w:val="single" w:color="CBD5E1" w:sz="1"/>
            </w:tcBorders>
            <w:shd w:fill="E6F4F4" w:val="clear"/>
            <w:tcMar>
              <w:top w:type="dxa" w:w="80"/>
              <w:left w:type="dxa" w:w="140"/>
              <w:bottom w:type="dxa" w:w="80"/>
              <w:right w:type="dxa" w:w="140"/>
            </w:tcMar>
          </w:tcPr>
          <w:p>
            <w:r>
              <w:rPr>
                <w:rFonts w:ascii="Roboto" w:cs="Roboto" w:eastAsia="Roboto" w:hAnsi="Roboto"/>
                <w:color w:val="0F172A"/>
                <w:sz w:val="19"/>
                <w:szCs w:val="19"/>
              </w:rPr>
              <w:t xml:space="preserve">The ION Plug is one codebase with sector-specific configuration profiles, not separate codebases per sector. Governance and updates must remain manageable at 1000+ NP scale.</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2044" w:sz="1"/>
              <w:left w:val="single" w:color="0F2044" w:sz="1"/>
              <w:bottom w:val="single" w:color="0F2044" w:sz="1"/>
              <w:right w:val="single" w:color="0F2044" w:sz="1"/>
            </w:tcBorders>
            <w:shd w:fill="0F2044" w:val="clear"/>
            <w:tcMar>
              <w:top w:type="dxa" w:w="110"/>
              <w:left w:type="dxa" w:w="240"/>
              <w:bottom w:type="dxa" w:w="110"/>
              <w:right w:type="dxa" w:w="240"/>
            </w:tcMar>
          </w:tcPr>
          <w:p>
            <w:r>
              <w:rPr>
                <w:rFonts w:ascii="Roboto" w:cs="Roboto" w:eastAsia="Roboto" w:hAnsi="Roboto"/>
                <w:b/>
                <w:bCs/>
                <w:color w:val="FFFFFF"/>
                <w:sz w:val="24"/>
                <w:szCs w:val="24"/>
              </w:rPr>
              <w:t xml:space="preserve">2.  THE NETWORK AT A GLANCE</w:t>
            </w:r>
          </w:p>
        </w:tc>
      </w:tr>
    </w:tbl>
    <w:p>
      <w:pPr>
        <w:spacing w:before="12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ION is a federated open commerce network built on Beckn Protocol 2.0. It has three system layers and one cross-cutting UI layer. ION Core provides central trust, routing, and governance. The NP Node layer provides distributed transaction processing. ION Dev Lab provides the standards, tooling, and certification environment. ION Central provides the visual communication layer across all phases for all participant types.</w:t>
      </w:r>
    </w:p>
    <w:p>
      <w:pPr>
        <w:spacing w:before="160" w:after="0"/>
      </w:pPr>
      <w:r>
        <w:rPr>
          <w:rFonts w:ascii="Roboto" w:cs="Roboto" w:eastAsia="Roboto" w:hAnsi="Roboto"/>
          <w:color w:val="0F172A"/>
          <w:sz w:val="19"/>
          <w:szCs w:val="19"/>
        </w:rPr>
        <w:t xml:space="preserve"/>
      </w:r>
    </w:p>
    <w:p>
      <w:pPr>
        <w:pStyle w:val="Heading2"/>
        <w:spacing w:before="300" w:after="100"/>
      </w:pPr>
      <w:r>
        <w:rPr>
          <w:rFonts w:ascii="Roboto" w:cs="Roboto" w:eastAsia="Roboto" w:hAnsi="Roboto"/>
          <w:b/>
          <w:bCs/>
          <w:color w:val="0A7373"/>
          <w:sz w:val="28"/>
          <w:szCs w:val="28"/>
        </w:rPr>
        <w:t xml:space="preserve">2.1  Layered Architecture</w:t>
      </w:r>
    </w:p>
    <w:p>
      <w:pPr>
        <w:spacing w:before="8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34155" w:sz="1"/>
              <w:left w:val="single" w:color="334155" w:sz="1"/>
              <w:bottom w:val="single" w:color="334155" w:sz="1"/>
              <w:right w:val="single" w:color="334155" w:sz="1"/>
            </w:tcBorders>
            <w:shd w:fill="334155" w:val="clear"/>
            <w:tcMar>
              <w:top w:type="dxa" w:w="110"/>
              <w:left w:type="dxa" w:w="200"/>
              <w:bottom w:type="dxa" w:w="110"/>
              <w:right w:type="dxa" w:w="200"/>
            </w:tcMar>
          </w:tcPr>
          <w:p>
            <w:pPr>
              <w:jc w:val="center"/>
            </w:pPr>
            <w:r>
              <w:rPr>
                <w:rFonts w:ascii="Roboto" w:cs="Roboto" w:eastAsia="Roboto" w:hAnsi="Roboto"/>
                <w:b/>
                <w:bCs/>
                <w:color w:val="FFFFFF"/>
                <w:sz w:val="21"/>
                <w:szCs w:val="21"/>
              </w:rPr>
              <w:t xml:space="preserve">ION CENTRAL  —  Visual Communication Layer  (UI across all phases for all participant types)</w:t>
            </w:r>
          </w:p>
        </w:tc>
      </w:tr>
      <w:tr>
        <w:tc>
          <w:tcPr>
            <w:tcW w:type="dxa" w:w="10080"/>
            <w:tcBorders>
              <w:top w:val="none" w:color="FFFFFF" w:sz="0"/>
              <w:left w:val="none" w:color="FFFFFF" w:sz="0"/>
              <w:bottom w:val="none" w:color="FFFFFF" w:sz="0"/>
              <w:right w:val="none" w:color="FFFFFF" w:sz="0"/>
            </w:tcBorders>
            <w:tcMar>
              <w:top w:type="dxa" w:w="4"/>
              <w:left w:type="dxa" w:w="0"/>
              <w:bottom w:type="dxa" w:w="4"/>
              <w:right w:type="dxa" w:w="0"/>
            </w:tcMar>
          </w:tcPr>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334155" w:sz="1"/>
                    <w:left w:val="single" w:color="334155" w:sz="1"/>
                    <w:bottom w:val="single" w:color="334155" w:sz="1"/>
                    <w:right w:val="single" w:color="334155" w:sz="1"/>
                  </w:tcBorders>
                  <w:shd w:fill="334155" w:val="clear"/>
                  <w:tcMar>
                    <w:top w:type="dxa" w:w="75"/>
                    <w:left w:type="dxa" w:w="80"/>
                    <w:bottom w:type="dxa" w:w="75"/>
                    <w:right w:type="dxa" w:w="80"/>
                  </w:tcMar>
                </w:tcPr>
                <w:p>
                  <w:pPr>
                    <w:jc w:val="center"/>
                  </w:pPr>
                  <w:r>
                    <w:rPr>
                      <w:rFonts w:ascii="Roboto" w:cs="Roboto" w:eastAsia="Roboto" w:hAnsi="Roboto"/>
                      <w:color w:val="CCE8E8"/>
                      <w:sz w:val="16"/>
                      <w:szCs w:val="16"/>
                    </w:rPr>
                    <w:t xml:space="preserve">Public Website  |  Register</w:t>
                  </w:r>
                </w:p>
              </w:tc>
              <w:tc>
                <w:tcPr>
                  <w:tcW w:type="dxa" w:w="3360"/>
                  <w:tcBorders>
                    <w:top w:val="single" w:color="334155" w:sz="1"/>
                    <w:left w:val="single" w:color="334155" w:sz="1"/>
                    <w:bottom w:val="single" w:color="334155" w:sz="1"/>
                    <w:right w:val="single" w:color="334155" w:sz="1"/>
                  </w:tcBorders>
                  <w:shd w:fill="334155" w:val="clear"/>
                  <w:tcMar>
                    <w:top w:type="dxa" w:w="75"/>
                    <w:left w:type="dxa" w:w="80"/>
                    <w:bottom w:type="dxa" w:w="75"/>
                    <w:right w:type="dxa" w:w="80"/>
                  </w:tcMar>
                </w:tcPr>
                <w:p>
                  <w:pPr>
                    <w:jc w:val="center"/>
                  </w:pPr>
                  <w:r>
                    <w:rPr>
                      <w:rFonts w:ascii="Roboto" w:cs="Roboto" w:eastAsia="Roboto" w:hAnsi="Roboto"/>
                      <w:color w:val="CCE8E8"/>
                      <w:sz w:val="16"/>
                      <w:szCs w:val="16"/>
                    </w:rPr>
                    <w:t xml:space="preserve">Developer Portal  |  Dev Lab UI</w:t>
                  </w:r>
                </w:p>
              </w:tc>
              <w:tc>
                <w:tcPr>
                  <w:tcW w:type="dxa" w:w="3360"/>
                  <w:tcBorders>
                    <w:top w:val="single" w:color="334155" w:sz="1"/>
                    <w:left w:val="single" w:color="334155" w:sz="1"/>
                    <w:bottom w:val="single" w:color="334155" w:sz="1"/>
                    <w:right w:val="single" w:color="334155" w:sz="1"/>
                  </w:tcBorders>
                  <w:shd w:fill="334155" w:val="clear"/>
                  <w:tcMar>
                    <w:top w:type="dxa" w:w="75"/>
                    <w:left w:type="dxa" w:w="80"/>
                    <w:bottom w:type="dxa" w:w="75"/>
                    <w:right w:type="dxa" w:w="80"/>
                  </w:tcMar>
                </w:tcPr>
                <w:p>
                  <w:pPr>
                    <w:jc w:val="center"/>
                  </w:pPr>
                  <w:r>
                    <w:rPr>
                      <w:rFonts w:ascii="Roboto" w:cs="Roboto" w:eastAsia="Roboto" w:hAnsi="Roboto"/>
                      <w:color w:val="CCE8E8"/>
                      <w:sz w:val="16"/>
                      <w:szCs w:val="16"/>
                    </w:rPr>
                    <w:t xml:space="preserve">Business Dashboard  |  Ops Dashboard  |  Internal Portal</w:t>
                  </w:r>
                </w:p>
              </w:tc>
            </w:tr>
          </w:tbl>
          <w:p/>
        </w:tc>
      </w:tr>
      <w:tr>
        <w:tc>
          <w:tcPr>
            <w:tcW w:type="dxa" w:w="10080"/>
            <w:tcBorders>
              <w:top w:val="none" w:color="FFFFFF" w:sz="0"/>
              <w:left w:val="none" w:color="FFFFFF" w:sz="0"/>
              <w:bottom w:val="none" w:color="FFFFFF" w:sz="0"/>
              <w:right w:val="none" w:color="FFFFFF" w:sz="0"/>
            </w:tcBorders>
            <w:tcMar>
              <w:top w:type="dxa" w:w="30"/>
              <w:left w:type="dxa" w:w="0"/>
              <w:bottom w:type="dxa" w:w="30"/>
              <w:right w:type="dxa" w:w="0"/>
            </w:tcMar>
          </w:tcPr>
          <w:p>
            <w:pPr>
              <w:jc w:val="center"/>
            </w:pPr>
            <w:r>
              <w:rPr>
                <w:rFonts w:ascii="Roboto" w:cs="Roboto" w:eastAsia="Roboto" w:hAnsi="Roboto"/>
                <w:i/>
                <w:iCs/>
                <w:color w:val="64748B"/>
                <w:sz w:val="17"/>
                <w:szCs w:val="17"/>
              </w:rPr>
              <w:t xml:space="preserve">▲  signals  ▼  events</w:t>
            </w:r>
          </w:p>
        </w:tc>
      </w:tr>
      <w:tr>
        <w:tc>
          <w:tcPr>
            <w:tcW w:type="dxa" w:w="10080"/>
            <w:tcBorders>
              <w:top w:val="single" w:color="1A3A6B" w:sz="1"/>
              <w:left w:val="single" w:color="1A3A6B" w:sz="1"/>
              <w:bottom w:val="single" w:color="1A3A6B" w:sz="1"/>
              <w:right w:val="single" w:color="1A3A6B" w:sz="1"/>
            </w:tcBorders>
            <w:shd w:fill="1A3A6B" w:val="clear"/>
            <w:tcMar>
              <w:top w:type="dxa" w:w="110"/>
              <w:left w:type="dxa" w:w="200"/>
              <w:bottom w:type="dxa" w:w="110"/>
              <w:right w:type="dxa" w:w="200"/>
            </w:tcMar>
          </w:tcPr>
          <w:p>
            <w:pPr>
              <w:jc w:val="center"/>
            </w:pPr>
            <w:r>
              <w:rPr>
                <w:rFonts w:ascii="Roboto" w:cs="Roboto" w:eastAsia="Roboto" w:hAnsi="Roboto"/>
                <w:b/>
                <w:bCs/>
                <w:color w:val="FFFFFF"/>
                <w:sz w:val="21"/>
                <w:szCs w:val="21"/>
              </w:rPr>
              <w:t xml:space="preserve">ION DEV LAB + SANDBOX  —  Standards, Tooling &amp; Certification Environment</w:t>
            </w:r>
          </w:p>
        </w:tc>
      </w:tr>
      <w:tr>
        <w:tc>
          <w:tcPr>
            <w:tcW w:type="dxa" w:w="10080"/>
            <w:tcBorders>
              <w:top w:val="none" w:color="FFFFFF" w:sz="0"/>
              <w:left w:val="none" w:color="FFFFFF" w:sz="0"/>
              <w:bottom w:val="none" w:color="FFFFFF" w:sz="0"/>
              <w:right w:val="none" w:color="FFFFFF" w:sz="0"/>
            </w:tcBorders>
            <w:tcMar>
              <w:top w:type="dxa" w:w="4"/>
              <w:left w:type="dxa" w:w="0"/>
              <w:bottom w:type="dxa" w:w="4"/>
              <w:right w:type="dxa" w:w="0"/>
            </w:tcMar>
          </w:tcPr>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1A3A6B" w:sz="1"/>
                    <w:left w:val="single" w:color="1A3A6B" w:sz="1"/>
                    <w:bottom w:val="single" w:color="1A3A6B" w:sz="1"/>
                    <w:right w:val="single" w:color="1A3A6B" w:sz="1"/>
                  </w:tcBorders>
                  <w:shd w:fill="1A3A6B" w:val="clear"/>
                  <w:tcMar>
                    <w:top w:type="dxa" w:w="75"/>
                    <w:left w:type="dxa" w:w="80"/>
                    <w:bottom w:type="dxa" w:w="75"/>
                    <w:right w:type="dxa" w:w="80"/>
                  </w:tcMar>
                </w:tcPr>
                <w:p>
                  <w:pPr>
                    <w:jc w:val="center"/>
                  </w:pPr>
                  <w:r>
                    <w:rPr>
                      <w:rFonts w:ascii="Roboto" w:cs="Roboto" w:eastAsia="Roboto" w:hAnsi="Roboto"/>
                      <w:color w:val="CCE8E8"/>
                      <w:sz w:val="16"/>
                      <w:szCs w:val="16"/>
                    </w:rPr>
                    <w:t xml:space="preserve">Spec Management</w:t>
                  </w:r>
                </w:p>
              </w:tc>
              <w:tc>
                <w:tcPr>
                  <w:tcW w:type="dxa" w:w="2016"/>
                  <w:tcBorders>
                    <w:top w:val="single" w:color="1A3A6B" w:sz="1"/>
                    <w:left w:val="single" w:color="1A3A6B" w:sz="1"/>
                    <w:bottom w:val="single" w:color="1A3A6B" w:sz="1"/>
                    <w:right w:val="single" w:color="1A3A6B" w:sz="1"/>
                  </w:tcBorders>
                  <w:shd w:fill="1A3A6B" w:val="clear"/>
                  <w:tcMar>
                    <w:top w:type="dxa" w:w="75"/>
                    <w:left w:type="dxa" w:w="80"/>
                    <w:bottom w:type="dxa" w:w="75"/>
                    <w:right w:type="dxa" w:w="80"/>
                  </w:tcMar>
                </w:tcPr>
                <w:p>
                  <w:pPr>
                    <w:jc w:val="center"/>
                  </w:pPr>
                  <w:r>
                    <w:rPr>
                      <w:rFonts w:ascii="Roboto" w:cs="Roboto" w:eastAsia="Roboto" w:hAnsi="Roboto"/>
                      <w:color w:val="CCE8E8"/>
                      <w:sz w:val="16"/>
                      <w:szCs w:val="16"/>
                    </w:rPr>
                    <w:t xml:space="preserve">ONIX Rule Mgmt</w:t>
                  </w:r>
                </w:p>
              </w:tc>
              <w:tc>
                <w:tcPr>
                  <w:tcW w:type="dxa" w:w="2016"/>
                  <w:tcBorders>
                    <w:top w:val="single" w:color="1A3A6B" w:sz="1"/>
                    <w:left w:val="single" w:color="1A3A6B" w:sz="1"/>
                    <w:bottom w:val="single" w:color="1A3A6B" w:sz="1"/>
                    <w:right w:val="single" w:color="1A3A6B" w:sz="1"/>
                  </w:tcBorders>
                  <w:shd w:fill="1A3A6B" w:val="clear"/>
                  <w:tcMar>
                    <w:top w:type="dxa" w:w="75"/>
                    <w:left w:type="dxa" w:w="80"/>
                    <w:bottom w:type="dxa" w:w="75"/>
                    <w:right w:type="dxa" w:w="80"/>
                  </w:tcMar>
                </w:tcPr>
                <w:p>
                  <w:pPr>
                    <w:jc w:val="center"/>
                  </w:pPr>
                  <w:r>
                    <w:rPr>
                      <w:rFonts w:ascii="Roboto" w:cs="Roboto" w:eastAsia="Roboto" w:hAnsi="Roboto"/>
                      <w:color w:val="CCE8E8"/>
                      <w:sz w:val="16"/>
                      <w:szCs w:val="16"/>
                    </w:rPr>
                    <w:t xml:space="preserve">Adaptor Library</w:t>
                  </w:r>
                </w:p>
              </w:tc>
              <w:tc>
                <w:tcPr>
                  <w:tcW w:type="dxa" w:w="2016"/>
                  <w:tcBorders>
                    <w:top w:val="single" w:color="1A3A6B" w:sz="1"/>
                    <w:left w:val="single" w:color="1A3A6B" w:sz="1"/>
                    <w:bottom w:val="single" w:color="1A3A6B" w:sz="1"/>
                    <w:right w:val="single" w:color="1A3A6B" w:sz="1"/>
                  </w:tcBorders>
                  <w:shd w:fill="1A3A6B" w:val="clear"/>
                  <w:tcMar>
                    <w:top w:type="dxa" w:w="75"/>
                    <w:left w:type="dxa" w:w="80"/>
                    <w:bottom w:type="dxa" w:w="75"/>
                    <w:right w:type="dxa" w:w="80"/>
                  </w:tcMar>
                </w:tcPr>
                <w:p>
                  <w:pPr>
                    <w:jc w:val="center"/>
                  </w:pPr>
                  <w:r>
                    <w:rPr>
                      <w:rFonts w:ascii="Roboto" w:cs="Roboto" w:eastAsia="Roboto" w:hAnsi="Roboto"/>
                      <w:color w:val="CCE8E8"/>
                      <w:sz w:val="16"/>
                      <w:szCs w:val="16"/>
                    </w:rPr>
                    <w:t xml:space="preserve">ION Plug</w:t>
                  </w:r>
                </w:p>
              </w:tc>
              <w:tc>
                <w:tcPr>
                  <w:tcW w:type="dxa" w:w="2016"/>
                  <w:tcBorders>
                    <w:top w:val="single" w:color="1A3A6B" w:sz="1"/>
                    <w:left w:val="single" w:color="1A3A6B" w:sz="1"/>
                    <w:bottom w:val="single" w:color="1A3A6B" w:sz="1"/>
                    <w:right w:val="single" w:color="1A3A6B" w:sz="1"/>
                  </w:tcBorders>
                  <w:shd w:fill="1A3A6B" w:val="clear"/>
                  <w:tcMar>
                    <w:top w:type="dxa" w:w="75"/>
                    <w:left w:type="dxa" w:w="80"/>
                    <w:bottom w:type="dxa" w:w="75"/>
                    <w:right w:type="dxa" w:w="80"/>
                  </w:tcMar>
                </w:tcPr>
                <w:p>
                  <w:pPr>
                    <w:jc w:val="center"/>
                  </w:pPr>
                  <w:r>
                    <w:rPr>
                      <w:rFonts w:ascii="Roboto" w:cs="Roboto" w:eastAsia="Roboto" w:hAnsi="Roboto"/>
                      <w:color w:val="CCE8E8"/>
                      <w:sz w:val="16"/>
                      <w:szCs w:val="16"/>
                    </w:rPr>
                    <w:t xml:space="preserve">ION Sandbox</w:t>
                  </w:r>
                </w:p>
              </w:tc>
            </w:tr>
          </w:tbl>
          <w:p/>
        </w:tc>
      </w:tr>
      <w:tr>
        <w:tc>
          <w:tcPr>
            <w:tcW w:type="dxa" w:w="10080"/>
            <w:tcBorders>
              <w:top w:val="none" w:color="FFFFFF" w:sz="0"/>
              <w:left w:val="none" w:color="FFFFFF" w:sz="0"/>
              <w:bottom w:val="none" w:color="FFFFFF" w:sz="0"/>
              <w:right w:val="none" w:color="FFFFFF" w:sz="0"/>
            </w:tcBorders>
            <w:tcMar>
              <w:top w:type="dxa" w:w="30"/>
              <w:left w:type="dxa" w:w="0"/>
              <w:bottom w:type="dxa" w:w="30"/>
              <w:right w:type="dxa" w:w="0"/>
            </w:tcMar>
          </w:tcPr>
          <w:p>
            <w:pPr>
              <w:jc w:val="center"/>
            </w:pPr>
            <w:r>
              <w:rPr>
                <w:rFonts w:ascii="Roboto" w:cs="Roboto" w:eastAsia="Roboto" w:hAnsi="Roboto"/>
                <w:i/>
                <w:iCs/>
                <w:color w:val="64748B"/>
                <w:sz w:val="17"/>
                <w:szCs w:val="17"/>
              </w:rPr>
              <w:t xml:space="preserve">▲  signals  ▼  events</w:t>
            </w:r>
          </w:p>
        </w:tc>
      </w:tr>
      <w:tr>
        <w:tc>
          <w:tcPr>
            <w:tcW w:type="dxa" w:w="10080"/>
            <w:tcBorders>
              <w:top w:val="single" w:color="0A7373" w:sz="1"/>
              <w:left w:val="single" w:color="0A7373" w:sz="1"/>
              <w:bottom w:val="single" w:color="0A7373" w:sz="1"/>
              <w:right w:val="single" w:color="0A7373" w:sz="1"/>
            </w:tcBorders>
            <w:shd w:fill="0A7373" w:val="clear"/>
            <w:tcMar>
              <w:top w:type="dxa" w:w="110"/>
              <w:left w:type="dxa" w:w="200"/>
              <w:bottom w:type="dxa" w:w="110"/>
              <w:right w:type="dxa" w:w="200"/>
            </w:tcMar>
          </w:tcPr>
          <w:p>
            <w:pPr>
              <w:jc w:val="center"/>
            </w:pPr>
            <w:r>
              <w:rPr>
                <w:rFonts w:ascii="Roboto" w:cs="Roboto" w:eastAsia="Roboto" w:hAnsi="Roboto"/>
                <w:b/>
                <w:bCs/>
                <w:color w:val="FFFFFF"/>
                <w:sz w:val="21"/>
                <w:szCs w:val="21"/>
              </w:rPr>
              <w:t xml:space="preserve">NP NODE LAYER  —  Distributed, ION-Governed</w:t>
            </w:r>
          </w:p>
        </w:tc>
      </w:tr>
      <w:tr>
        <w:tc>
          <w:tcPr>
            <w:tcW w:type="dxa" w:w="10080"/>
            <w:tcBorders>
              <w:top w:val="none" w:color="FFFFFF" w:sz="0"/>
              <w:left w:val="none" w:color="FFFFFF" w:sz="0"/>
              <w:bottom w:val="none" w:color="FFFFFF" w:sz="0"/>
              <w:right w:val="none" w:color="FFFFFF" w:sz="0"/>
            </w:tcBorders>
            <w:tcMar>
              <w:top w:type="dxa" w:w="4"/>
              <w:left w:type="dxa" w:w="0"/>
              <w:bottom w:type="dxa" w:w="4"/>
              <w:right w:type="dxa" w:w="0"/>
            </w:tcMar>
          </w:tcPr>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0A7373" w:sz="1"/>
                    <w:left w:val="single" w:color="0A7373" w:sz="1"/>
                    <w:bottom w:val="single" w:color="0A7373" w:sz="1"/>
                    <w:right w:val="single" w:color="0A7373" w:sz="1"/>
                  </w:tcBorders>
                  <w:shd w:fill="0A7373" w:val="clear"/>
                  <w:tcMar>
                    <w:top w:type="dxa" w:w="80"/>
                    <w:left w:type="dxa" w:w="80"/>
                    <w:bottom w:type="dxa" w:w="80"/>
                    <w:right w:type="dxa" w:w="80"/>
                  </w:tcMar>
                </w:tcPr>
                <w:p>
                  <w:pPr>
                    <w:jc w:val="center"/>
                  </w:pPr>
                  <w:r>
                    <w:rPr>
                      <w:rFonts w:ascii="Roboto" w:cs="Roboto" w:eastAsia="Roboto" w:hAnsi="Roboto"/>
                      <w:b/>
                      <w:bCs/>
                      <w:color w:val="FFFFFF"/>
                      <w:sz w:val="17"/>
                      <w:szCs w:val="17"/>
                    </w:rPr>
                    <w:t xml:space="preserve">ONIX Execution</w:t>
                  </w:r>
                </w:p>
              </w:tc>
              <w:tc>
                <w:tcPr>
                  <w:tcW w:type="dxa" w:w="2520"/>
                  <w:tcBorders>
                    <w:top w:val="single" w:color="0A7373" w:sz="1"/>
                    <w:left w:val="single" w:color="0A7373" w:sz="1"/>
                    <w:bottom w:val="single" w:color="0A7373" w:sz="1"/>
                    <w:right w:val="single" w:color="0A7373" w:sz="1"/>
                  </w:tcBorders>
                  <w:shd w:fill="0A7373" w:val="clear"/>
                  <w:tcMar>
                    <w:top w:type="dxa" w:w="80"/>
                    <w:left w:type="dxa" w:w="80"/>
                    <w:bottom w:type="dxa" w:w="80"/>
                    <w:right w:type="dxa" w:w="80"/>
                  </w:tcMar>
                </w:tcPr>
                <w:p>
                  <w:pPr>
                    <w:jc w:val="center"/>
                  </w:pPr>
                  <w:r>
                    <w:rPr>
                      <w:rFonts w:ascii="Roboto" w:cs="Roboto" w:eastAsia="Roboto" w:hAnsi="Roboto"/>
                      <w:b/>
                      <w:bCs/>
                      <w:color w:val="FFFFFF"/>
                      <w:sz w:val="17"/>
                      <w:szCs w:val="17"/>
                    </w:rPr>
                    <w:t xml:space="preserve">Order / Fulfillment / Modification State Machines</w:t>
                  </w:r>
                </w:p>
              </w:tc>
              <w:tc>
                <w:tcPr>
                  <w:tcW w:type="dxa" w:w="2520"/>
                  <w:tcBorders>
                    <w:top w:val="single" w:color="0A7373" w:sz="1"/>
                    <w:left w:val="single" w:color="0A7373" w:sz="1"/>
                    <w:bottom w:val="single" w:color="0A7373" w:sz="1"/>
                    <w:right w:val="single" w:color="0A7373" w:sz="1"/>
                  </w:tcBorders>
                  <w:shd w:fill="0A7373" w:val="clear"/>
                  <w:tcMar>
                    <w:top w:type="dxa" w:w="80"/>
                    <w:left w:type="dxa" w:w="80"/>
                    <w:bottom w:type="dxa" w:w="80"/>
                    <w:right w:type="dxa" w:w="80"/>
                  </w:tcMar>
                </w:tcPr>
                <w:p>
                  <w:pPr>
                    <w:jc w:val="center"/>
                  </w:pPr>
                  <w:r>
                    <w:rPr>
                      <w:rFonts w:ascii="Roboto" w:cs="Roboto" w:eastAsia="Roboto" w:hAnsi="Roboto"/>
                      <w:b/>
                      <w:bCs/>
                      <w:color w:val="FFFFFF"/>
                      <w:sz w:val="17"/>
                      <w:szCs w:val="17"/>
                    </w:rPr>
                    <w:t xml:space="preserve">Pre-select Quote / Cache Engine</w:t>
                  </w:r>
                </w:p>
              </w:tc>
              <w:tc>
                <w:tcPr>
                  <w:tcW w:type="dxa" w:w="2520"/>
                  <w:tcBorders>
                    <w:top w:val="single" w:color="0A7373" w:sz="1"/>
                    <w:left w:val="single" w:color="0A7373" w:sz="1"/>
                    <w:bottom w:val="single" w:color="0A7373" w:sz="1"/>
                    <w:right w:val="single" w:color="0A7373" w:sz="1"/>
                  </w:tcBorders>
                  <w:shd w:fill="0A7373" w:val="clear"/>
                  <w:tcMar>
                    <w:top w:type="dxa" w:w="80"/>
                    <w:left w:type="dxa" w:w="80"/>
                    <w:bottom w:type="dxa" w:w="80"/>
                    <w:right w:type="dxa" w:w="80"/>
                  </w:tcMar>
                </w:tcPr>
                <w:p>
                  <w:pPr>
                    <w:jc w:val="center"/>
                  </w:pPr>
                  <w:r>
                    <w:rPr>
                      <w:rFonts w:ascii="Roboto" w:cs="Roboto" w:eastAsia="Roboto" w:hAnsi="Roboto"/>
                      <w:b/>
                      <w:bCs/>
                      <w:color w:val="FFFFFF"/>
                      <w:sz w:val="17"/>
                      <w:szCs w:val="17"/>
                    </w:rPr>
                    <w:t xml:space="preserve">Catalogue  |  Payment  |  IGM L1  |  Grievance L1  |  Communication</w:t>
                  </w:r>
                </w:p>
              </w:tc>
            </w:tr>
          </w:tbl>
          <w:p/>
        </w:tc>
      </w:tr>
      <w:tr>
        <w:tc>
          <w:tcPr>
            <w:tcW w:type="dxa" w:w="10080"/>
            <w:tcBorders>
              <w:top w:val="none" w:color="FFFFFF" w:sz="0"/>
              <w:left w:val="none" w:color="FFFFFF" w:sz="0"/>
              <w:bottom w:val="none" w:color="FFFFFF" w:sz="0"/>
              <w:right w:val="none" w:color="FFFFFF" w:sz="0"/>
            </w:tcBorders>
            <w:tcMar>
              <w:top w:type="dxa" w:w="30"/>
              <w:left w:type="dxa" w:w="0"/>
              <w:bottom w:type="dxa" w:w="30"/>
              <w:right w:type="dxa" w:w="0"/>
            </w:tcMar>
          </w:tcPr>
          <w:p>
            <w:pPr>
              <w:jc w:val="center"/>
            </w:pPr>
            <w:r>
              <w:rPr>
                <w:rFonts w:ascii="Roboto" w:cs="Roboto" w:eastAsia="Roboto" w:hAnsi="Roboto"/>
                <w:i/>
                <w:iCs/>
                <w:color w:val="64748B"/>
                <w:sz w:val="17"/>
                <w:szCs w:val="17"/>
              </w:rPr>
              <w:t xml:space="preserve">▲  signals  ▼  events</w:t>
            </w:r>
          </w:p>
        </w:tc>
      </w:tr>
      <w:tr>
        <w:tc>
          <w:tcPr>
            <w:tcW w:type="dxa" w:w="10080"/>
            <w:tcBorders>
              <w:top w:val="single" w:color="0F2044" w:sz="1"/>
              <w:left w:val="single" w:color="0F2044" w:sz="1"/>
              <w:bottom w:val="single" w:color="0F2044" w:sz="1"/>
              <w:right w:val="single" w:color="0F2044" w:sz="1"/>
            </w:tcBorders>
            <w:shd w:fill="0F2044" w:val="clear"/>
            <w:tcMar>
              <w:top w:type="dxa" w:w="110"/>
              <w:left w:type="dxa" w:w="200"/>
              <w:bottom w:type="dxa" w:w="110"/>
              <w:right w:type="dxa" w:w="200"/>
            </w:tcMar>
          </w:tcPr>
          <w:p>
            <w:pPr>
              <w:jc w:val="center"/>
            </w:pPr>
            <w:r>
              <w:rPr>
                <w:rFonts w:ascii="Roboto" w:cs="Roboto" w:eastAsia="Roboto" w:hAnsi="Roboto"/>
                <w:b/>
                <w:bCs/>
                <w:color w:val="FFFFFF"/>
                <w:sz w:val="21"/>
                <w:szCs w:val="21"/>
              </w:rPr>
              <w:t xml:space="preserve">ION CORE  —  Central, ION Operated</w:t>
            </w:r>
          </w:p>
        </w:tc>
      </w:tr>
      <w:tr>
        <w:tc>
          <w:tcPr>
            <w:tcW w:type="dxa" w:w="10080"/>
            <w:tcBorders>
              <w:top w:val="none" w:color="FFFFFF" w:sz="0"/>
              <w:left w:val="none" w:color="FFFFFF" w:sz="0"/>
              <w:bottom w:val="none" w:color="FFFFFF" w:sz="0"/>
              <w:right w:val="none" w:color="FFFFFF" w:sz="0"/>
            </w:tcBorders>
            <w:tcMar>
              <w:top w:type="dxa" w:w="4"/>
              <w:left w:type="dxa" w:w="0"/>
              <w:bottom w:type="dxa" w:w="4"/>
              <w:right w:type="dxa" w:w="0"/>
            </w:tcMar>
          </w:tcPr>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c>
                <w:tcPr>
                  <w:tcW w:type="dxa" w:w="168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tcPr>
                <w:p>
                  <w:pPr>
                    <w:jc w:val="center"/>
                  </w:pPr>
                  <w:r>
                    <w:rPr>
                      <w:rFonts w:ascii="Roboto" w:cs="Roboto" w:eastAsia="Roboto" w:hAnsi="Roboto"/>
                      <w:b/>
                      <w:bCs/>
                      <w:color w:val="FFFFFF"/>
                      <w:sz w:val="17"/>
                      <w:szCs w:val="17"/>
                    </w:rPr>
                    <w:t xml:space="preserve">Registry</w:t>
                  </w:r>
                </w:p>
              </w:tc>
              <w:tc>
                <w:tcPr>
                  <w:tcW w:type="dxa" w:w="168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tcPr>
                <w:p>
                  <w:pPr>
                    <w:jc w:val="center"/>
                  </w:pPr>
                  <w:r>
                    <w:rPr>
                      <w:rFonts w:ascii="Roboto" w:cs="Roboto" w:eastAsia="Roboto" w:hAnsi="Roboto"/>
                      <w:b/>
                      <w:bCs/>
                      <w:color w:val="FFFFFF"/>
                      <w:sz w:val="17"/>
                      <w:szCs w:val="17"/>
                    </w:rPr>
                    <w:t xml:space="preserve">Gateway / CDS</w:t>
                  </w:r>
                </w:p>
              </w:tc>
              <w:tc>
                <w:tcPr>
                  <w:tcW w:type="dxa" w:w="168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tcPr>
                <w:p>
                  <w:pPr>
                    <w:jc w:val="center"/>
                  </w:pPr>
                  <w:r>
                    <w:rPr>
                      <w:rFonts w:ascii="Roboto" w:cs="Roboto" w:eastAsia="Roboto" w:hAnsi="Roboto"/>
                      <w:b/>
                      <w:bCs/>
                      <w:color w:val="FFFFFF"/>
                      <w:sz w:val="17"/>
                      <w:szCs w:val="17"/>
                    </w:rPr>
                    <w:t xml:space="preserve">ONIX Ruleset</w:t>
                  </w:r>
                </w:p>
              </w:tc>
              <w:tc>
                <w:tcPr>
                  <w:tcW w:type="dxa" w:w="168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tcPr>
                <w:p>
                  <w:pPr>
                    <w:jc w:val="center"/>
                  </w:pPr>
                  <w:r>
                    <w:rPr>
                      <w:rFonts w:ascii="Roboto" w:cs="Roboto" w:eastAsia="Roboto" w:hAnsi="Roboto"/>
                      <w:b/>
                      <w:bCs/>
                      <w:color w:val="FFFFFF"/>
                      <w:sz w:val="17"/>
                      <w:szCs w:val="17"/>
                    </w:rPr>
                    <w:t xml:space="preserve">Static Terms T1+T2</w:t>
                  </w:r>
                </w:p>
              </w:tc>
              <w:tc>
                <w:tcPr>
                  <w:tcW w:type="dxa" w:w="168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tcPr>
                <w:p>
                  <w:pPr>
                    <w:jc w:val="center"/>
                  </w:pPr>
                  <w:r>
                    <w:rPr>
                      <w:rFonts w:ascii="Roboto" w:cs="Roboto" w:eastAsia="Roboto" w:hAnsi="Roboto"/>
                      <w:b/>
                      <w:bCs/>
                      <w:color w:val="FFFFFF"/>
                      <w:sz w:val="17"/>
                      <w:szCs w:val="17"/>
                    </w:rPr>
                    <w:t xml:space="preserve">TLC + TLC Admin</w:t>
                  </w:r>
                </w:p>
              </w:tc>
              <w:tc>
                <w:tcPr>
                  <w:tcW w:type="dxa" w:w="168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tcPr>
                <w:p>
                  <w:pPr>
                    <w:jc w:val="center"/>
                  </w:pPr>
                  <w:r>
                    <w:rPr>
                      <w:rFonts w:ascii="Roboto" w:cs="Roboto" w:eastAsia="Roboto" w:hAnsi="Roboto"/>
                      <w:b/>
                      <w:bCs/>
                      <w:color w:val="FFFFFF"/>
                      <w:sz w:val="17"/>
                      <w:szCs w:val="17"/>
                    </w:rPr>
                    <w:t xml:space="preserve">Settlement  |  Observability  |  Policy  |  Grievance L2/L3  |  Rating  |  Translation  |  IGM  |  Events</w:t>
                  </w:r>
                </w:p>
              </w:tc>
            </w:tr>
          </w:tbl>
          <w:p/>
        </w:tc>
      </w:tr>
      <w:tr>
        <w:tc>
          <w:tcPr>
            <w:tcW w:type="dxa" w:w="10080"/>
            <w:tcBorders>
              <w:top w:val="none" w:color="FFFFFF" w:sz="0"/>
              <w:left w:val="none" w:color="FFFFFF" w:sz="0"/>
              <w:bottom w:val="none" w:color="FFFFFF" w:sz="0"/>
              <w:right w:val="none" w:color="FFFFFF" w:sz="0"/>
            </w:tcBorders>
            <w:tcMar>
              <w:top w:type="dxa" w:w="30"/>
              <w:left w:type="dxa" w:w="0"/>
              <w:bottom w:type="dxa" w:w="30"/>
              <w:right w:type="dxa" w:w="0"/>
            </w:tcMar>
          </w:tcPr>
          <w:p>
            <w:pPr>
              <w:jc w:val="center"/>
            </w:pPr>
            <w:r>
              <w:rPr>
                <w:rFonts w:ascii="Roboto" w:cs="Roboto" w:eastAsia="Roboto" w:hAnsi="Roboto"/>
                <w:i/>
                <w:iCs/>
                <w:color w:val="64748B"/>
                <w:sz w:val="17"/>
                <w:szCs w:val="17"/>
              </w:rPr>
              <w:t xml:space="preserve">▲  signals  ▼  events</w:t>
            </w:r>
          </w:p>
        </w:tc>
      </w:tr>
      <w:tr>
        <w:tc>
          <w:tcPr>
            <w:tcW w:type="dxa" w:w="10080"/>
            <w:tcBorders>
              <w:top w:val="single" w:color="F1F5F9" w:sz="1"/>
              <w:left w:val="single" w:color="F1F5F9" w:sz="1"/>
              <w:bottom w:val="single" w:color="F1F5F9" w:sz="1"/>
              <w:right w:val="single" w:color="F1F5F9" w:sz="1"/>
            </w:tcBorders>
            <w:shd w:fill="F1F5F9" w:val="clear"/>
            <w:tcMar>
              <w:top w:type="dxa" w:w="80"/>
              <w:left w:type="dxa" w:w="200"/>
              <w:bottom w:type="dxa" w:w="80"/>
              <w:right w:type="dxa" w:w="200"/>
            </w:tcMar>
          </w:tcPr>
          <w:p>
            <w:pPr>
              <w:jc w:val="center"/>
            </w:pPr>
            <w:r>
              <w:rPr>
                <w:rFonts w:ascii="Roboto" w:cs="Roboto" w:eastAsia="Roboto" w:hAnsi="Roboto"/>
                <w:b w:val="false"/>
                <w:bCs w:val="false"/>
                <w:color w:val="334155"/>
                <w:sz w:val="18"/>
                <w:szCs w:val="18"/>
              </w:rPr>
              <w:t xml:space="preserve">EXTERNAL RAILS  —  BI-FAST  |  QRIS  |  e-KTP / NIB  |  OJK Reporting  |  Kominfo</w:t>
            </w:r>
          </w:p>
        </w:tc>
      </w:tr>
    </w:tbl>
    <w:p>
      <w:pPr>
        <w:spacing w:before="200" w:after="0"/>
      </w:pPr>
      <w:r>
        <w:rPr>
          <w:rFonts w:ascii="Roboto" w:cs="Roboto" w:eastAsia="Roboto" w:hAnsi="Roboto"/>
          <w:color w:val="0F172A"/>
          <w:sz w:val="19"/>
          <w:szCs w:val="19"/>
        </w:rPr>
        <w:t xml:space="preserve"/>
      </w:r>
    </w:p>
    <w:p>
      <w:pPr>
        <w:pStyle w:val="Heading2"/>
        <w:spacing w:before="300" w:after="100"/>
      </w:pPr>
      <w:r>
        <w:rPr>
          <w:rFonts w:ascii="Roboto" w:cs="Roboto" w:eastAsia="Roboto" w:hAnsi="Roboto"/>
          <w:b/>
          <w:bCs/>
          <w:color w:val="0A7373"/>
          <w:sz w:val="28"/>
          <w:szCs w:val="28"/>
        </w:rPr>
        <w:t xml:space="preserve">2.2  The Three Architectural Models</w:t>
      </w:r>
    </w:p>
    <w:p>
      <w:pPr>
        <w:spacing w:before="8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6280"/>
      </w:tblGrid>
      <w:tr>
        <w:tc>
          <w:tcPr>
            <w:tcW w:type="dxa" w:w="12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Model</w:t>
            </w:r>
          </w:p>
        </w:tc>
        <w:tc>
          <w:tcPr>
            <w:tcW w:type="dxa" w:w="26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Where It Lives</w:t>
            </w:r>
          </w:p>
        </w:tc>
        <w:tc>
          <w:tcPr>
            <w:tcW w:type="dxa" w:w="628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Deciding Test</w:t>
            </w:r>
          </w:p>
        </w:tc>
      </w:tr>
      <w:tr>
        <w:tc>
          <w:tcPr>
            <w:tcW w:type="dxa" w:w="120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9"/>
                <w:szCs w:val="19"/>
              </w:rPr>
              <w:t xml:space="preserve">Central</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r>
              <w:rPr>
                <w:rFonts w:ascii="Roboto" w:cs="Roboto" w:eastAsia="Roboto" w:hAnsi="Roboto"/>
                <w:b/>
                <w:bCs/>
                <w:color w:val="1A3A6B"/>
                <w:sz w:val="19"/>
                <w:szCs w:val="19"/>
              </w:rPr>
              <w:t xml:space="preserve">ION Core, ION operated</w:t>
            </w:r>
          </w:p>
        </w:tc>
        <w:tc>
          <w:tcPr>
            <w:tcW w:type="dxa" w:w="6280"/>
            <w:tcBorders>
              <w:top w:val="single" w:color="F1F5F9" w:sz="1"/>
              <w:left w:val="single" w:color="F1F5F9" w:sz="1"/>
              <w:bottom w:val="single" w:color="F1F5F9" w:sz="1"/>
              <w:right w:val="single" w:color="F1F5F9" w:sz="1"/>
            </w:tcBorders>
            <w:shd w:fill="F1F5F9"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Does this need to be trusted by both transacting parties? Does dispute resolution depend on it? If yes — it must be central.</w:t>
            </w:r>
          </w:p>
        </w:tc>
      </w:tr>
      <w:tr>
        <w:tc>
          <w:tcPr>
            <w:tcW w:type="dxa" w:w="1200"/>
            <w:tcBorders>
              <w:top w:val="single" w:color="0A7373" w:sz="1"/>
              <w:left w:val="single" w:color="0A7373" w:sz="1"/>
              <w:bottom w:val="single" w:color="0A7373" w:sz="1"/>
              <w:right w:val="single" w:color="0A7373" w:sz="1"/>
            </w:tcBorders>
            <w:shd w:fill="0A7373" w:val="clear"/>
            <w:tcMar>
              <w:top w:type="dxa" w:w="80"/>
              <w:left w:type="dxa" w:w="80"/>
              <w:bottom w:type="dxa" w:w="80"/>
              <w:right w:type="dxa" w:w="80"/>
            </w:tcMar>
            <w:vAlign w:val="center"/>
          </w:tcPr>
          <w:p>
            <w:pPr>
              <w:jc w:val="center"/>
            </w:pPr>
            <w:r>
              <w:rPr>
                <w:rFonts w:ascii="Roboto" w:cs="Roboto" w:eastAsia="Roboto" w:hAnsi="Roboto"/>
                <w:b/>
                <w:bCs/>
                <w:color w:val="FFFFFF"/>
                <w:sz w:val="19"/>
                <w:szCs w:val="19"/>
              </w:rPr>
              <w:t xml:space="preserve">Distributed</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r>
              <w:rPr>
                <w:rFonts w:ascii="Roboto" w:cs="Roboto" w:eastAsia="Roboto" w:hAnsi="Roboto"/>
                <w:b/>
                <w:bCs/>
                <w:color w:val="1A3A6B"/>
                <w:sz w:val="19"/>
                <w:szCs w:val="19"/>
              </w:rPr>
              <w:t xml:space="preserve">NP Node, participant operated, ION governed</w:t>
            </w:r>
          </w:p>
        </w:tc>
        <w:tc>
          <w:tcPr>
            <w:tcW w:type="dxa" w:w="6280"/>
            <w:tcBorders>
              <w:top w:val="single" w:color="F1F5F9" w:sz="1"/>
              <w:left w:val="single" w:color="F1F5F9" w:sz="1"/>
              <w:bottom w:val="single" w:color="F1F5F9" w:sz="1"/>
              <w:right w:val="single" w:color="F1F5F9" w:sz="1"/>
            </w:tcBorders>
            <w:shd w:fill="F1F5F9"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Does this create competitive value for the participant, or does centralising it create a bottleneck or data sovereignty concern? If yes — it should be distributed.</w:t>
            </w:r>
          </w:p>
        </w:tc>
      </w:tr>
      <w:tr>
        <w:tc>
          <w:tcPr>
            <w:tcW w:type="dxa" w:w="1200"/>
            <w:tcBorders>
              <w:top w:val="single" w:color="5B2D8E" w:sz="1"/>
              <w:left w:val="single" w:color="5B2D8E" w:sz="1"/>
              <w:bottom w:val="single" w:color="5B2D8E" w:sz="1"/>
              <w:right w:val="single" w:color="5B2D8E" w:sz="1"/>
            </w:tcBorders>
            <w:shd w:fill="5B2D8E" w:val="clear"/>
            <w:tcMar>
              <w:top w:type="dxa" w:w="80"/>
              <w:left w:type="dxa" w:w="80"/>
              <w:bottom w:type="dxa" w:w="80"/>
              <w:right w:type="dxa" w:w="80"/>
            </w:tcMar>
            <w:vAlign w:val="center"/>
          </w:tcPr>
          <w:p>
            <w:pPr>
              <w:jc w:val="center"/>
            </w:pPr>
            <w:r>
              <w:rPr>
                <w:rFonts w:ascii="Roboto" w:cs="Roboto" w:eastAsia="Roboto" w:hAnsi="Roboto"/>
                <w:b/>
                <w:bCs/>
                <w:color w:val="FFFFFF"/>
                <w:sz w:val="19"/>
                <w:szCs w:val="19"/>
              </w:rPr>
              <w:t xml:space="preserve">Federated</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r>
              <w:rPr>
                <w:rFonts w:ascii="Roboto" w:cs="Roboto" w:eastAsia="Roboto" w:hAnsi="Roboto"/>
                <w:b/>
                <w:bCs/>
                <w:color w:val="1A3A6B"/>
                <w:sz w:val="19"/>
                <w:szCs w:val="19"/>
              </w:rPr>
              <w:t xml:space="preserve">Standard at ION Core, execution at NP Node</w:t>
            </w:r>
          </w:p>
        </w:tc>
        <w:tc>
          <w:tcPr>
            <w:tcW w:type="dxa" w:w="6280"/>
            <w:tcBorders>
              <w:top w:val="single" w:color="F1F5F9" w:sz="1"/>
              <w:left w:val="single" w:color="F1F5F9" w:sz="1"/>
              <w:bottom w:val="single" w:color="F1F5F9" w:sz="1"/>
              <w:right w:val="single" w:color="F1F5F9" w:sz="1"/>
            </w:tcBorders>
            <w:shd w:fill="F1F5F9"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Does this need interoperability across participants, but data or execution cannot be centralised? If yes — federate it.</w:t>
            </w:r>
          </w:p>
        </w:tc>
      </w:tr>
    </w:tbl>
    <w:p>
      <w:pPr>
        <w:spacing w:before="160" w:after="0"/>
      </w:pPr>
      <w:r>
        <w:rPr>
          <w:rFonts w:ascii="Roboto" w:cs="Roboto" w:eastAsia="Roboto" w:hAnsi="Roboto"/>
          <w:color w:val="0F172A"/>
          <w:sz w:val="19"/>
          <w:szCs w:val="19"/>
        </w:rPr>
        <w:t xml:space="preserve"/>
      </w:r>
    </w:p>
    <w:p>
      <w:pPr>
        <w:pStyle w:val="Heading2"/>
        <w:spacing w:before="300" w:after="100"/>
      </w:pPr>
      <w:r>
        <w:rPr>
          <w:rFonts w:ascii="Roboto" w:cs="Roboto" w:eastAsia="Roboto" w:hAnsi="Roboto"/>
          <w:b/>
          <w:bCs/>
          <w:color w:val="0A7373"/>
          <w:sz w:val="28"/>
          <w:szCs w:val="28"/>
        </w:rPr>
        <w:t xml:space="preserve">2.3  Participant Ecosystem</w:t>
      </w:r>
    </w:p>
    <w:p>
      <w:pPr>
        <w:spacing w:before="8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680"/>
      </w:tblGrid>
      <w:tr>
        <w:tc>
          <w:tcPr>
            <w:tcW w:type="dxa" w:w="22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Type</w:t>
            </w:r>
          </w:p>
        </w:tc>
        <w:tc>
          <w:tcPr>
            <w:tcW w:type="dxa" w:w="32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Role</w:t>
            </w:r>
          </w:p>
        </w:tc>
        <w:tc>
          <w:tcPr>
            <w:tcW w:type="dxa" w:w="468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Examples</w:t>
            </w:r>
          </w:p>
        </w:tc>
      </w:tr>
      <w:tr>
        <w:tc>
          <w:tcPr>
            <w:tcW w:type="dxa" w:w="220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bCs/>
                <w:color w:val="0A7373"/>
                <w:sz w:val="19"/>
                <w:szCs w:val="19"/>
              </w:rPr>
              <w:t xml:space="preserve">Buyer Network Participant (BNP)</w:t>
            </w:r>
          </w:p>
        </w:tc>
        <w:tc>
          <w:tcPr>
            <w:tcW w:type="dxa" w:w="320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Consumer-facing applications that allow buyers to discover and transact on the network</w:t>
            </w:r>
          </w:p>
        </w:tc>
        <w:tc>
          <w:tcPr>
            <w:tcW w:type="dxa" w:w="468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val="false"/>
                <w:bCs w:val="false"/>
                <w:color w:val="64748B"/>
                <w:sz w:val="19"/>
                <w:szCs w:val="19"/>
              </w:rPr>
              <w:t xml:space="preserve">E-commerce apps, super-apps, vertical retail apps</w:t>
            </w:r>
          </w:p>
        </w:tc>
      </w:tr>
      <w:tr>
        <w:tc>
          <w:tcPr>
            <w:tcW w:type="dxa" w:w="220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bCs/>
                <w:color w:val="0A7373"/>
                <w:sz w:val="19"/>
                <w:szCs w:val="19"/>
              </w:rPr>
              <w:t xml:space="preserve">Seller Network Participant (SNP)</w:t>
            </w:r>
          </w:p>
        </w:tc>
        <w:tc>
          <w:tcPr>
            <w:tcW w:type="dxa" w:w="320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Merchant-facing platforms that onboard sellers and publish catalogue and fulfillment capabilities to the network</w:t>
            </w:r>
          </w:p>
        </w:tc>
        <w:tc>
          <w:tcPr>
            <w:tcW w:type="dxa" w:w="468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val="false"/>
                <w:bCs w:val="false"/>
                <w:color w:val="64748B"/>
                <w:sz w:val="19"/>
                <w:szCs w:val="19"/>
              </w:rPr>
              <w:t xml:space="preserve">Seller dashboards, merchant SaaS platforms, aggregator tools</w:t>
            </w:r>
          </w:p>
        </w:tc>
      </w:tr>
      <w:tr>
        <w:tc>
          <w:tcPr>
            <w:tcW w:type="dxa" w:w="220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bCs/>
                <w:color w:val="0A7373"/>
                <w:sz w:val="19"/>
                <w:szCs w:val="19"/>
              </w:rPr>
              <w:t xml:space="preserve">Type 1 TSP</w:t>
            </w:r>
          </w:p>
        </w:tc>
        <w:tc>
          <w:tcPr>
            <w:tcW w:type="dxa" w:w="320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Configures and operates the base network infrastructure layer. Does not build — operates and enables.</w:t>
            </w:r>
          </w:p>
        </w:tc>
        <w:tc>
          <w:tcPr>
            <w:tcW w:type="dxa" w:w="468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val="false"/>
                <w:bCs w:val="false"/>
                <w:color w:val="64748B"/>
                <w:sz w:val="19"/>
                <w:szCs w:val="19"/>
              </w:rPr>
              <w:t xml:space="preserve">Network infrastructure and enablement providers</w:t>
            </w:r>
          </w:p>
        </w:tc>
      </w:tr>
      <w:tr>
        <w:tc>
          <w:tcPr>
            <w:tcW w:type="dxa" w:w="220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bCs/>
                <w:color w:val="0A7373"/>
                <w:sz w:val="19"/>
                <w:szCs w:val="19"/>
              </w:rPr>
              <w:t xml:space="preserve">Type 2 TSP — Sector Anchor</w:t>
            </w:r>
          </w:p>
        </w:tc>
        <w:tc>
          <w:tcPr>
            <w:tcW w:type="dxa" w:w="320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Builds sector-specific NP Node implementations, onboards participants in their sector, and defines sector-specific use cases and flows</w:t>
            </w:r>
          </w:p>
        </w:tc>
        <w:tc>
          <w:tcPr>
            <w:tcW w:type="dxa" w:w="468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val="false"/>
                <w:bCs w:val="false"/>
                <w:color w:val="64748B"/>
                <w:sz w:val="19"/>
                <w:szCs w:val="19"/>
              </w:rPr>
              <w:t xml:space="preserve">Retail commerce TSP, logistics TSP, payments TSP</w:t>
            </w:r>
          </w:p>
        </w:tc>
      </w:tr>
      <w:tr>
        <w:tc>
          <w:tcPr>
            <w:tcW w:type="dxa" w:w="220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bCs/>
                <w:color w:val="0A7373"/>
                <w:sz w:val="19"/>
                <w:szCs w:val="19"/>
              </w:rPr>
              <w:t xml:space="preserve">Type 3 TSP — Network Participant</w:t>
            </w:r>
          </w:p>
        </w:tc>
        <w:tc>
          <w:tcPr>
            <w:tcW w:type="dxa" w:w="320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Existing applications that integrate with ION, bringing their existing user base to the network</w:t>
            </w:r>
          </w:p>
        </w:tc>
        <w:tc>
          <w:tcPr>
            <w:tcW w:type="dxa" w:w="468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val="false"/>
                <w:bCs w:val="false"/>
                <w:color w:val="64748B"/>
                <w:sz w:val="19"/>
                <w:szCs w:val="19"/>
              </w:rPr>
              <w:t xml:space="preserve">Established Indonesian commerce and logistics apps</w:t>
            </w:r>
          </w:p>
        </w:tc>
      </w:tr>
    </w:tbl>
    <w:p>
      <w:pPr>
        <w:spacing w:before="160" w:after="0"/>
      </w:pPr>
      <w:r>
        <w:rPr>
          <w:rFonts w:ascii="Roboto" w:cs="Roboto" w:eastAsia="Roboto" w:hAnsi="Roboto"/>
          <w:color w:val="0F172A"/>
          <w:sz w:val="19"/>
          <w:szCs w:val="19"/>
        </w:rPr>
        <w:t xml:space="preserve"/>
      </w:r>
    </w:p>
    <w:p>
      <w:pPr>
        <w:pStyle w:val="Heading2"/>
        <w:spacing w:before="300" w:after="100"/>
      </w:pPr>
      <w:r>
        <w:rPr>
          <w:rFonts w:ascii="Roboto" w:cs="Roboto" w:eastAsia="Roboto" w:hAnsi="Roboto"/>
          <w:b/>
          <w:bCs/>
          <w:color w:val="0A7373"/>
          <w:sz w:val="28"/>
          <w:szCs w:val="28"/>
        </w:rPr>
        <w:t xml:space="preserve">2.4  ION Central — Visual Communication Layer</w:t>
      </w:r>
    </w:p>
    <w:p>
      <w:pPr>
        <w:spacing w:before="8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ION Central is not a phase in the transaction lifecycle — it is the UI layer through which every participant type interacts with the network at every phase. It surfaces ION Core capabilities, ION Dev Lab tools, and operational dashboards through role-specific interfaces.</w:t>
      </w:r>
    </w:p>
    <w:p>
      <w:pPr>
        <w:spacing w:before="10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280"/>
      </w:tblGrid>
      <w:tr>
        <w:tc>
          <w:tcPr>
            <w:tcW w:type="dxa" w:w="26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Phase</w:t>
            </w:r>
          </w:p>
        </w:tc>
        <w:tc>
          <w:tcPr>
            <w:tcW w:type="dxa" w:w="22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Who Uses ION Central</w:t>
            </w:r>
          </w:p>
        </w:tc>
        <w:tc>
          <w:tcPr>
            <w:tcW w:type="dxa" w:w="528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What They Do</w:t>
            </w:r>
          </w:p>
        </w:tc>
      </w:tr>
      <w:tr>
        <w:tc>
          <w:tcPr>
            <w:tcW w:type="dxa" w:w="2600"/>
            <w:tcBorders>
              <w:top w:val="single" w:color="CBD5E1" w:sz="1"/>
              <w:left w:val="single" w:color="CBD5E1" w:sz="1"/>
              <w:bottom w:val="single" w:color="CBD5E1" w:sz="1"/>
              <w:right w:val="single" w:color="CBD5E1" w:sz="1"/>
            </w:tcBorders>
            <w:shd w:fill="E6F4F4" w:val="clear"/>
            <w:tcMar>
              <w:top w:type="dxa" w:w="80"/>
              <w:left w:type="dxa" w:w="140"/>
              <w:bottom w:type="dxa" w:w="80"/>
              <w:right w:type="dxa" w:w="140"/>
            </w:tcMar>
          </w:tcPr>
          <w:p>
            <w:r>
              <w:rPr>
                <w:rFonts w:ascii="Roboto" w:cs="Roboto" w:eastAsia="Roboto" w:hAnsi="Roboto"/>
                <w:b/>
                <w:bCs/>
                <w:color w:val="0A7373"/>
                <w:sz w:val="19"/>
                <w:szCs w:val="19"/>
              </w:rPr>
              <w:t xml:space="preserve">Phase 0 — Network Admission</w:t>
            </w:r>
          </w:p>
        </w:tc>
        <w:tc>
          <w:tcPr>
            <w:tcW w:type="dxa" w:w="2200"/>
            <w:tcBorders>
              <w:top w:val="single" w:color="CBD5E1" w:sz="1"/>
              <w:left w:val="single" w:color="CBD5E1" w:sz="1"/>
              <w:bottom w:val="single" w:color="CBD5E1" w:sz="1"/>
              <w:right w:val="single" w:color="CBD5E1" w:sz="1"/>
            </w:tcBorders>
            <w:shd w:fill="E6F4F4" w:val="clear"/>
            <w:tcMar>
              <w:top w:type="dxa" w:w="80"/>
              <w:left w:type="dxa" w:w="140"/>
              <w:bottom w:type="dxa" w:w="80"/>
              <w:right w:type="dxa" w:w="140"/>
            </w:tcMar>
          </w:tcPr>
          <w:p>
            <w:r>
              <w:rPr>
                <w:rFonts w:ascii="Roboto" w:cs="Roboto" w:eastAsia="Roboto" w:hAnsi="Roboto"/>
                <w:color w:val="0F172A"/>
                <w:sz w:val="19"/>
                <w:szCs w:val="19"/>
              </w:rPr>
              <w:t xml:space="preserve">Prospective NPs and TSPs</w:t>
            </w:r>
          </w:p>
        </w:tc>
        <w:tc>
          <w:tcPr>
            <w:tcW w:type="dxa" w:w="5280"/>
            <w:tcBorders>
              <w:top w:val="single" w:color="CBD5E1" w:sz="1"/>
              <w:left w:val="single" w:color="CBD5E1" w:sz="1"/>
              <w:bottom w:val="single" w:color="CBD5E1" w:sz="1"/>
              <w:right w:val="single" w:color="CBD5E1" w:sz="1"/>
            </w:tcBorders>
            <w:shd w:fill="E6F4F4" w:val="clear"/>
            <w:tcMar>
              <w:top w:type="dxa" w:w="80"/>
              <w:left w:type="dxa" w:w="140"/>
              <w:bottom w:type="dxa" w:w="80"/>
              <w:right w:type="dxa" w:w="140"/>
            </w:tcMar>
          </w:tcPr>
          <w:p>
            <w:r>
              <w:rPr>
                <w:rFonts w:ascii="Roboto" w:cs="Roboto" w:eastAsia="Roboto" w:hAnsi="Roboto"/>
                <w:color w:val="0F172A"/>
                <w:sz w:val="19"/>
                <w:szCs w:val="19"/>
              </w:rPr>
              <w:t xml:space="preserve">Register, submit KYC documents, track admission status, accept Static Terms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b/>
                <w:bCs/>
                <w:color w:val="0A7373"/>
                <w:sz w:val="19"/>
                <w:szCs w:val="19"/>
              </w:rPr>
              <w:t xml:space="preserve">Phase 1 — Network Readiness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SNPs, TSPs</w:t>
            </w:r>
          </w:p>
        </w:tc>
        <w:tc>
          <w:tcPr>
            <w:tcW w:type="dxa" w:w="5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Manage catalogue, configure rules, view ONIX certification status, browse specifications in Dev Lab</w:t>
            </w:r>
          </w:p>
        </w:tc>
      </w:tr>
      <w:tr>
        <w:tc>
          <w:tcPr>
            <w:tcW w:type="dxa" w:w="2600"/>
            <w:tcBorders>
              <w:top w:val="single" w:color="CBD5E1" w:sz="1"/>
              <w:left w:val="single" w:color="CBD5E1" w:sz="1"/>
              <w:bottom w:val="single" w:color="CBD5E1" w:sz="1"/>
              <w:right w:val="single" w:color="CBD5E1" w:sz="1"/>
            </w:tcBorders>
            <w:shd w:fill="E6F4F4" w:val="clear"/>
            <w:tcMar>
              <w:top w:type="dxa" w:w="80"/>
              <w:left w:type="dxa" w:w="140"/>
              <w:bottom w:type="dxa" w:w="80"/>
              <w:right w:type="dxa" w:w="140"/>
            </w:tcMar>
          </w:tcPr>
          <w:p>
            <w:r>
              <w:rPr>
                <w:rFonts w:ascii="Roboto" w:cs="Roboto" w:eastAsia="Roboto" w:hAnsi="Roboto"/>
                <w:b/>
                <w:bCs/>
                <w:color w:val="0A7373"/>
                <w:sz w:val="19"/>
                <w:szCs w:val="19"/>
              </w:rPr>
              <w:t xml:space="preserve">Phase 2 — Discovery &amp; Quote</w:t>
            </w:r>
          </w:p>
        </w:tc>
        <w:tc>
          <w:tcPr>
            <w:tcW w:type="dxa" w:w="2200"/>
            <w:tcBorders>
              <w:top w:val="single" w:color="CBD5E1" w:sz="1"/>
              <w:left w:val="single" w:color="CBD5E1" w:sz="1"/>
              <w:bottom w:val="single" w:color="CBD5E1" w:sz="1"/>
              <w:right w:val="single" w:color="CBD5E1" w:sz="1"/>
            </w:tcBorders>
            <w:shd w:fill="E6F4F4" w:val="clear"/>
            <w:tcMar>
              <w:top w:type="dxa" w:w="80"/>
              <w:left w:type="dxa" w:w="140"/>
              <w:bottom w:type="dxa" w:w="80"/>
              <w:right w:type="dxa" w:w="140"/>
            </w:tcMar>
          </w:tcPr>
          <w:p>
            <w:r>
              <w:rPr>
                <w:rFonts w:ascii="Roboto" w:cs="Roboto" w:eastAsia="Roboto" w:hAnsi="Roboto"/>
                <w:color w:val="0F172A"/>
                <w:sz w:val="19"/>
                <w:szCs w:val="19"/>
              </w:rPr>
              <w:t xml:space="preserve">BNPs</w:t>
            </w:r>
          </w:p>
        </w:tc>
        <w:tc>
          <w:tcPr>
            <w:tcW w:type="dxa" w:w="5280"/>
            <w:tcBorders>
              <w:top w:val="single" w:color="CBD5E1" w:sz="1"/>
              <w:left w:val="single" w:color="CBD5E1" w:sz="1"/>
              <w:bottom w:val="single" w:color="CBD5E1" w:sz="1"/>
              <w:right w:val="single" w:color="CBD5E1" w:sz="1"/>
            </w:tcBorders>
            <w:shd w:fill="E6F4F4" w:val="clear"/>
            <w:tcMar>
              <w:top w:type="dxa" w:w="80"/>
              <w:left w:type="dxa" w:w="140"/>
              <w:bottom w:type="dxa" w:w="80"/>
              <w:right w:type="dxa" w:w="140"/>
            </w:tcMar>
          </w:tcPr>
          <w:p>
            <w:r>
              <w:rPr>
                <w:rFonts w:ascii="Roboto" w:cs="Roboto" w:eastAsia="Roboto" w:hAnsi="Roboto"/>
                <w:color w:val="0F172A"/>
                <w:sz w:val="19"/>
                <w:szCs w:val="19"/>
              </w:rPr>
              <w:t xml:space="preserve">Directory browsing, participant discovery, sector exploration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b/>
                <w:bCs/>
                <w:color w:val="0A7373"/>
                <w:sz w:val="19"/>
                <w:szCs w:val="19"/>
              </w:rPr>
              <w:t xml:space="preserve">Phase 3 — Order Commitment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BNPs, SNPs</w:t>
            </w:r>
          </w:p>
        </w:tc>
        <w:tc>
          <w:tcPr>
            <w:tcW w:type="dxa" w:w="5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Order visibility, confirmation tracking, TLC record access</w:t>
            </w:r>
          </w:p>
        </w:tc>
      </w:tr>
      <w:tr>
        <w:tc>
          <w:tcPr>
            <w:tcW w:type="dxa" w:w="2600"/>
            <w:tcBorders>
              <w:top w:val="single" w:color="CBD5E1" w:sz="1"/>
              <w:left w:val="single" w:color="CBD5E1" w:sz="1"/>
              <w:bottom w:val="single" w:color="CBD5E1" w:sz="1"/>
              <w:right w:val="single" w:color="CBD5E1" w:sz="1"/>
            </w:tcBorders>
            <w:shd w:fill="E6F4F4" w:val="clear"/>
            <w:tcMar>
              <w:top w:type="dxa" w:w="80"/>
              <w:left w:type="dxa" w:w="140"/>
              <w:bottom w:type="dxa" w:w="80"/>
              <w:right w:type="dxa" w:w="140"/>
            </w:tcMar>
          </w:tcPr>
          <w:p>
            <w:r>
              <w:rPr>
                <w:rFonts w:ascii="Roboto" w:cs="Roboto" w:eastAsia="Roboto" w:hAnsi="Roboto"/>
                <w:b/>
                <w:bCs/>
                <w:color w:val="0A7373"/>
                <w:sz w:val="19"/>
                <w:szCs w:val="19"/>
              </w:rPr>
              <w:t xml:space="preserve">Phase 4 — Fulfillment</w:t>
            </w:r>
          </w:p>
        </w:tc>
        <w:tc>
          <w:tcPr>
            <w:tcW w:type="dxa" w:w="2200"/>
            <w:tcBorders>
              <w:top w:val="single" w:color="CBD5E1" w:sz="1"/>
              <w:left w:val="single" w:color="CBD5E1" w:sz="1"/>
              <w:bottom w:val="single" w:color="CBD5E1" w:sz="1"/>
              <w:right w:val="single" w:color="CBD5E1" w:sz="1"/>
            </w:tcBorders>
            <w:shd w:fill="E6F4F4" w:val="clear"/>
            <w:tcMar>
              <w:top w:type="dxa" w:w="80"/>
              <w:left w:type="dxa" w:w="140"/>
              <w:bottom w:type="dxa" w:w="80"/>
              <w:right w:type="dxa" w:w="140"/>
            </w:tcMar>
          </w:tcPr>
          <w:p>
            <w:r>
              <w:rPr>
                <w:rFonts w:ascii="Roboto" w:cs="Roboto" w:eastAsia="Roboto" w:hAnsi="Roboto"/>
                <w:color w:val="0F172A"/>
                <w:sz w:val="19"/>
                <w:szCs w:val="19"/>
              </w:rPr>
              <w:t xml:space="preserve">BNPs, SNPs, ION Ops</w:t>
            </w:r>
          </w:p>
        </w:tc>
        <w:tc>
          <w:tcPr>
            <w:tcW w:type="dxa" w:w="5280"/>
            <w:tcBorders>
              <w:top w:val="single" w:color="CBD5E1" w:sz="1"/>
              <w:left w:val="single" w:color="CBD5E1" w:sz="1"/>
              <w:bottom w:val="single" w:color="CBD5E1" w:sz="1"/>
              <w:right w:val="single" w:color="CBD5E1" w:sz="1"/>
            </w:tcBorders>
            <w:shd w:fill="E6F4F4" w:val="clear"/>
            <w:tcMar>
              <w:top w:type="dxa" w:w="80"/>
              <w:left w:type="dxa" w:w="140"/>
              <w:bottom w:type="dxa" w:w="80"/>
              <w:right w:type="dxa" w:w="140"/>
            </w:tcMar>
          </w:tcPr>
          <w:p>
            <w:r>
              <w:rPr>
                <w:rFonts w:ascii="Roboto" w:cs="Roboto" w:eastAsia="Roboto" w:hAnsi="Roboto"/>
                <w:color w:val="0F172A"/>
                <w:sz w:val="19"/>
                <w:szCs w:val="19"/>
              </w:rPr>
              <w:t xml:space="preserve">Order and fulfillment status, modification management, active order communication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b/>
                <w:bCs/>
                <w:color w:val="0A7373"/>
                <w:sz w:val="19"/>
                <w:szCs w:val="19"/>
              </w:rPr>
              <w:t xml:space="preserve">Phase 5 — Post-Fulfillment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BNPs, SNPs, ION Ops</w:t>
            </w:r>
          </w:p>
        </w:tc>
        <w:tc>
          <w:tcPr>
            <w:tcW w:type="dxa" w:w="5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Grievance management, settlement status, payout tracking, dispute evidence submission</w:t>
            </w:r>
          </w:p>
        </w:tc>
      </w:tr>
      <w:tr>
        <w:tc>
          <w:tcPr>
            <w:tcW w:type="dxa" w:w="2600"/>
            <w:tcBorders>
              <w:top w:val="single" w:color="CBD5E1" w:sz="1"/>
              <w:left w:val="single" w:color="CBD5E1" w:sz="1"/>
              <w:bottom w:val="single" w:color="CBD5E1" w:sz="1"/>
              <w:right w:val="single" w:color="CBD5E1" w:sz="1"/>
            </w:tcBorders>
            <w:shd w:fill="E6F4F4" w:val="clear"/>
            <w:tcMar>
              <w:top w:type="dxa" w:w="80"/>
              <w:left w:type="dxa" w:w="140"/>
              <w:bottom w:type="dxa" w:w="80"/>
              <w:right w:type="dxa" w:w="140"/>
            </w:tcMar>
          </w:tcPr>
          <w:p>
            <w:r>
              <w:rPr>
                <w:rFonts w:ascii="Roboto" w:cs="Roboto" w:eastAsia="Roboto" w:hAnsi="Roboto"/>
                <w:b/>
                <w:bCs/>
                <w:color w:val="0A7373"/>
                <w:sz w:val="19"/>
                <w:szCs w:val="19"/>
              </w:rPr>
              <w:t xml:space="preserve">Phase 6 — Terminal &amp; Intelligence</w:t>
            </w:r>
          </w:p>
        </w:tc>
        <w:tc>
          <w:tcPr>
            <w:tcW w:type="dxa" w:w="2200"/>
            <w:tcBorders>
              <w:top w:val="single" w:color="CBD5E1" w:sz="1"/>
              <w:left w:val="single" w:color="CBD5E1" w:sz="1"/>
              <w:bottom w:val="single" w:color="CBD5E1" w:sz="1"/>
              <w:right w:val="single" w:color="CBD5E1" w:sz="1"/>
            </w:tcBorders>
            <w:shd w:fill="E6F4F4" w:val="clear"/>
            <w:tcMar>
              <w:top w:type="dxa" w:w="80"/>
              <w:left w:type="dxa" w:w="140"/>
              <w:bottom w:type="dxa" w:w="80"/>
              <w:right w:type="dxa" w:w="140"/>
            </w:tcMar>
          </w:tcPr>
          <w:p>
            <w:r>
              <w:rPr>
                <w:rFonts w:ascii="Roboto" w:cs="Roboto" w:eastAsia="Roboto" w:hAnsi="Roboto"/>
                <w:color w:val="0F172A"/>
                <w:sz w:val="19"/>
                <w:szCs w:val="19"/>
              </w:rPr>
              <w:t xml:space="preserve">ION Ops, ION Leadership</w:t>
            </w:r>
          </w:p>
        </w:tc>
        <w:tc>
          <w:tcPr>
            <w:tcW w:type="dxa" w:w="5280"/>
            <w:tcBorders>
              <w:top w:val="single" w:color="CBD5E1" w:sz="1"/>
              <w:left w:val="single" w:color="CBD5E1" w:sz="1"/>
              <w:bottom w:val="single" w:color="CBD5E1" w:sz="1"/>
              <w:right w:val="single" w:color="CBD5E1" w:sz="1"/>
            </w:tcBorders>
            <w:shd w:fill="E6F4F4" w:val="clear"/>
            <w:tcMar>
              <w:top w:type="dxa" w:w="80"/>
              <w:left w:type="dxa" w:w="140"/>
              <w:bottom w:type="dxa" w:w="80"/>
              <w:right w:type="dxa" w:w="140"/>
            </w:tcMar>
          </w:tcPr>
          <w:p>
            <w:r>
              <w:rPr>
                <w:rFonts w:ascii="Roboto" w:cs="Roboto" w:eastAsia="Roboto" w:hAnsi="Roboto"/>
                <w:color w:val="0F172A"/>
                <w:sz w:val="19"/>
                <w:szCs w:val="19"/>
              </w:rPr>
              <w:t xml:space="preserve">Network observability dashboards, analytics, proactive operations, signal monitoring</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b/>
                <w:bCs/>
                <w:color w:val="0A7373"/>
                <w:sz w:val="19"/>
                <w:szCs w:val="19"/>
              </w:rPr>
              <w:t xml:space="preserve">ION Dev Lab (cross-phase)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TSPs, NPs, Developers</w:t>
            </w:r>
          </w:p>
        </w:tc>
        <w:tc>
          <w:tcPr>
            <w:tcW w:type="dxa" w:w="52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Specification browsing, sandbox access, Plug downloads, adaptor library, certification workflows, ONIX rule explorer</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2044" w:sz="1"/>
              <w:left w:val="single" w:color="0F2044" w:sz="1"/>
              <w:bottom w:val="single" w:color="0F2044" w:sz="1"/>
              <w:right w:val="single" w:color="0F2044" w:sz="1"/>
            </w:tcBorders>
            <w:shd w:fill="0F2044" w:val="clear"/>
            <w:tcMar>
              <w:top w:type="dxa" w:w="110"/>
              <w:left w:type="dxa" w:w="240"/>
              <w:bottom w:type="dxa" w:w="110"/>
              <w:right w:type="dxa" w:w="240"/>
            </w:tcMar>
          </w:tcPr>
          <w:p>
            <w:r>
              <w:rPr>
                <w:rFonts w:ascii="Roboto" w:cs="Roboto" w:eastAsia="Roboto" w:hAnsi="Roboto"/>
                <w:b/>
                <w:bCs/>
                <w:color w:val="FFFFFF"/>
                <w:sz w:val="24"/>
                <w:szCs w:val="24"/>
              </w:rPr>
              <w:t xml:space="preserve">3.  THE RETAIL TRANSACTION FLOW</w:t>
            </w:r>
          </w:p>
        </w:tc>
      </w:tr>
    </w:tbl>
    <w:p>
      <w:pPr>
        <w:spacing w:before="12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This section traces the complete lifecycle of a retail transaction on ION across six phases — from network admission through to terminal state. Each phase is described narratively and mapped to the sequence table that follows.</w:t>
      </w:r>
    </w:p>
    <w:p>
      <w:pPr>
        <w:spacing w:before="8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47A00" w:sz="1"/>
              <w:left w:val="single" w:color="C47A00" w:sz="14"/>
              <w:bottom w:val="single" w:color="C47A00" w:sz="1"/>
              <w:right w:val="single" w:color="C47A00" w:sz="1"/>
            </w:tcBorders>
            <w:shd w:fill="FEF6E4" w:val="clear"/>
            <w:tcMar>
              <w:top w:type="dxa" w:w="130"/>
              <w:left w:type="dxa" w:w="220"/>
              <w:bottom w:type="dxa" w:w="130"/>
              <w:right w:type="dxa" w:w="220"/>
            </w:tcMar>
          </w:tcPr>
          <w:p>
            <w:pPr>
              <w:spacing w:after="50"/>
            </w:pPr>
            <w:r>
              <w:rPr>
                <w:rFonts w:ascii="Roboto" w:cs="Roboto" w:eastAsia="Roboto" w:hAnsi="Roboto"/>
                <w:b/>
                <w:bCs/>
                <w:color w:val="C47A00"/>
                <w:sz w:val="19"/>
                <w:szCs w:val="19"/>
              </w:rPr>
              <w:t xml:space="preserve">Language Note — Read Before the Flow</w:t>
            </w:r>
          </w:p>
          <w:p>
            <w:r>
              <w:rPr>
                <w:rFonts w:ascii="Roboto" w:cs="Roboto" w:eastAsia="Roboto" w:hAnsi="Roboto"/>
                <w:color w:val="0F172A"/>
                <w:sz w:val="19"/>
                <w:szCs w:val="19"/>
              </w:rPr>
              <w:t xml:space="preserve">Steps where language is operationally critical are flagged in the sequence table. The Translation Service governs which version is authoritative at each step. For all TLC creation, modification, and grievance steps: Bahasa Indonesia is the legally binding record regardless of the working language of the parties involved. English is the canonical language for all technical artefacts and API-level communication.</w:t>
            </w:r>
          </w:p>
        </w:tc>
      </w:tr>
    </w:tbl>
    <w:p>
      <w:pPr>
        <w:spacing w:before="16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334155" w:sz="1"/>
              <w:left w:val="single" w:color="334155" w:sz="1"/>
              <w:bottom w:val="single" w:color="334155" w:sz="1"/>
              <w:right w:val="single" w:color="334155" w:sz="1"/>
            </w:tcBorders>
            <w:shd w:fill="334155" w:val="clear"/>
            <w:tcMar>
              <w:top w:type="dxa" w:w="120"/>
              <w:left w:type="dxa" w:w="100"/>
              <w:bottom w:type="dxa" w:w="120"/>
              <w:right w:type="dxa" w:w="100"/>
            </w:tcMar>
            <w:vAlign w:val="center"/>
          </w:tcPr>
          <w:p>
            <w:pPr>
              <w:jc w:val="center"/>
            </w:pPr>
            <w:r>
              <w:rPr>
                <w:rFonts w:ascii="Roboto" w:cs="Roboto" w:eastAsia="Roboto" w:hAnsi="Roboto"/>
                <w:b/>
                <w:bCs/>
                <w:color w:val="FFFFFF"/>
                <w:sz w:val="32"/>
                <w:szCs w:val="32"/>
              </w:rPr>
              <w:t xml:space="preserve">P0</w:t>
            </w:r>
          </w:p>
        </w:tc>
        <w:tc>
          <w:tcPr>
            <w:tcW w:type="dxa" w:w="9280"/>
            <w:tcBorders>
              <w:top w:val="single" w:color="334155" w:sz="1"/>
              <w:left w:val="single" w:color="334155" w:sz="1"/>
              <w:bottom w:val="single" w:color="334155" w:sz="1"/>
              <w:right w:val="single" w:color="334155" w:sz="1"/>
            </w:tcBorders>
            <w:shd w:fill="334155" w:val="clear"/>
            <w:tcMar>
              <w:top w:type="dxa" w:w="100"/>
              <w:left w:type="dxa" w:w="200"/>
              <w:bottom w:type="dxa" w:w="100"/>
              <w:right w:type="dxa" w:w="200"/>
            </w:tcMar>
          </w:tcPr>
          <w:p>
            <w:r>
              <w:rPr>
                <w:rFonts w:ascii="Roboto" w:cs="Roboto" w:eastAsia="Roboto" w:hAnsi="Roboto"/>
                <w:b/>
                <w:bCs/>
                <w:color w:val="FFFFFF"/>
                <w:sz w:val="24"/>
                <w:szCs w:val="24"/>
              </w:rPr>
              <w:t xml:space="preserve">Network Admission</w:t>
            </w:r>
          </w:p>
          <w:p>
            <w:r>
              <w:rPr>
                <w:rFonts w:ascii="Roboto" w:cs="Roboto" w:eastAsia="Roboto" w:hAnsi="Roboto"/>
                <w:color w:val="CCE8E8"/>
                <w:sz w:val="18"/>
                <w:szCs w:val="18"/>
              </w:rPr>
              <w:t xml:space="preserve">Identity verification → Registry entry → Plug deployment → Certification → Live on network</w:t>
            </w:r>
          </w:p>
        </w:tc>
      </w:tr>
    </w:tbl>
    <w:p>
      <w:pPr>
        <w:spacing w:before="10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Before any transaction can occur, a participant must be admitted to the network. Admission is a gate — not a formality. The participant verifies their identity against Indonesian government systems (e-KTP, NIB), is entered into the Registry, receives credentials, deploys the ION Plug, certifies their integration in the ION Sandbox, and accepts the Network Static Terms (Tier 1). Only after passing this gate is the participant visible on the network.</w:t>
      </w:r>
    </w:p>
    <w:p>
      <w:pPr>
        <w:spacing w:before="80" w:after="0"/>
      </w:pPr>
      <w:r>
        <w:rPr>
          <w:rFonts w:ascii="Roboto" w:cs="Roboto" w:eastAsia="Roboto" w:hAnsi="Roboto"/>
          <w:color w:val="0F172A"/>
          <w:sz w:val="19"/>
          <w:szCs w:val="19"/>
        </w:rPr>
        <w:t xml:space="preserve"/>
      </w:r>
    </w:p>
    <w:p>
      <w:pPr>
        <w:pStyle w:val="ListParagraph"/>
        <w:numPr>
          <w:ilvl w:val="0"/>
          <w:numId w:val="2"/>
        </w:numPr>
        <w:spacing w:before="40" w:after="55"/>
      </w:pPr>
      <w:r>
        <w:rPr>
          <w:rFonts w:ascii="Roboto" w:cs="Roboto" w:eastAsia="Roboto" w:hAnsi="Roboto"/>
          <w:color w:val="0F172A"/>
          <w:sz w:val="19"/>
          <w:szCs w:val="19"/>
        </w:rPr>
        <w:t xml:space="preserve">Identity verification against e-KTP (individual) or NIB (business) via the Identity &amp; Onboarding Verification component</w:t>
      </w:r>
    </w:p>
    <w:p>
      <w:pPr>
        <w:pStyle w:val="ListParagraph"/>
        <w:numPr>
          <w:ilvl w:val="0"/>
          <w:numId w:val="2"/>
        </w:numPr>
        <w:spacing w:before="40" w:after="55"/>
      </w:pPr>
      <w:r>
        <w:rPr>
          <w:rFonts w:ascii="Roboto" w:cs="Roboto" w:eastAsia="Roboto" w:hAnsi="Roboto"/>
          <w:color w:val="0F172A"/>
          <w:sz w:val="19"/>
          <w:szCs w:val="19"/>
        </w:rPr>
        <w:t xml:space="preserve">Registry entry created — participant is now known to the network</w:t>
      </w:r>
    </w:p>
    <w:p>
      <w:pPr>
        <w:pStyle w:val="ListParagraph"/>
        <w:numPr>
          <w:ilvl w:val="0"/>
          <w:numId w:val="2"/>
        </w:numPr>
        <w:spacing w:before="40" w:after="55"/>
      </w:pPr>
      <w:r>
        <w:rPr>
          <w:rFonts w:ascii="Roboto" w:cs="Roboto" w:eastAsia="Roboto" w:hAnsi="Roboto"/>
          <w:color w:val="0F172A"/>
          <w:sz w:val="19"/>
          <w:szCs w:val="19"/>
        </w:rPr>
        <w:t xml:space="preserve">Credentials issued — all subsequent messages signed against Registry identity</w:t>
      </w:r>
    </w:p>
    <w:p>
      <w:pPr>
        <w:pStyle w:val="ListParagraph"/>
        <w:numPr>
          <w:ilvl w:val="0"/>
          <w:numId w:val="2"/>
        </w:numPr>
        <w:spacing w:before="40" w:after="55"/>
      </w:pPr>
      <w:r>
        <w:rPr>
          <w:rFonts w:ascii="Roboto" w:cs="Roboto" w:eastAsia="Roboto" w:hAnsi="Roboto"/>
          <w:color w:val="0F172A"/>
          <w:sz w:val="19"/>
          <w:szCs w:val="19"/>
        </w:rPr>
        <w:t xml:space="preserve">ION Plug deployed by participant or via sector anchor TSP</w:t>
      </w:r>
    </w:p>
    <w:p>
      <w:pPr>
        <w:pStyle w:val="ListParagraph"/>
        <w:numPr>
          <w:ilvl w:val="0"/>
          <w:numId w:val="2"/>
        </w:numPr>
        <w:spacing w:before="40" w:after="55"/>
      </w:pPr>
      <w:r>
        <w:rPr>
          <w:rFonts w:ascii="Roboto" w:cs="Roboto" w:eastAsia="Roboto" w:hAnsi="Roboto"/>
          <w:color w:val="0F172A"/>
          <w:sz w:val="19"/>
          <w:szCs w:val="19"/>
        </w:rPr>
        <w:t xml:space="preserve">Integration certified in ION Sandbox — end-to-end transaction flows validated</w:t>
      </w:r>
    </w:p>
    <w:p>
      <w:pPr>
        <w:pStyle w:val="ListParagraph"/>
        <w:numPr>
          <w:ilvl w:val="0"/>
          <w:numId w:val="2"/>
        </w:numPr>
        <w:spacing w:before="40" w:after="55"/>
      </w:pPr>
      <w:r>
        <w:rPr>
          <w:rFonts w:ascii="Roboto" w:cs="Roboto" w:eastAsia="Roboto" w:hAnsi="Roboto"/>
          <w:color w:val="0F172A"/>
          <w:sz w:val="19"/>
          <w:szCs w:val="19"/>
        </w:rPr>
        <w:t xml:space="preserve">Network Static Terms (Tier 1) accepted — condition of participation, not transaction-time negotiation</w:t>
      </w:r>
    </w:p>
    <w:p>
      <w:pPr>
        <w:spacing w:before="16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1A3A6B" w:sz="1"/>
              <w:left w:val="single" w:color="1A3A6B" w:sz="1"/>
              <w:bottom w:val="single" w:color="1A3A6B" w:sz="1"/>
              <w:right w:val="single" w:color="1A3A6B" w:sz="1"/>
            </w:tcBorders>
            <w:shd w:fill="1A3A6B" w:val="clear"/>
            <w:tcMar>
              <w:top w:type="dxa" w:w="120"/>
              <w:left w:type="dxa" w:w="100"/>
              <w:bottom w:type="dxa" w:w="120"/>
              <w:right w:type="dxa" w:w="100"/>
            </w:tcMar>
            <w:vAlign w:val="center"/>
          </w:tcPr>
          <w:p>
            <w:pPr>
              <w:jc w:val="center"/>
            </w:pPr>
            <w:r>
              <w:rPr>
                <w:rFonts w:ascii="Roboto" w:cs="Roboto" w:eastAsia="Roboto" w:hAnsi="Roboto"/>
                <w:b/>
                <w:bCs/>
                <w:color w:val="FFFFFF"/>
                <w:sz w:val="32"/>
                <w:szCs w:val="32"/>
              </w:rPr>
              <w:t xml:space="preserve">P1</w:t>
            </w:r>
          </w:p>
        </w:tc>
        <w:tc>
          <w:tcPr>
            <w:tcW w:type="dxa" w:w="9280"/>
            <w:tcBorders>
              <w:top w:val="single" w:color="1A3A6B" w:sz="1"/>
              <w:left w:val="single" w:color="1A3A6B" w:sz="1"/>
              <w:bottom w:val="single" w:color="1A3A6B" w:sz="1"/>
              <w:right w:val="single" w:color="1A3A6B" w:sz="1"/>
            </w:tcBorders>
            <w:shd w:fill="1A3A6B" w:val="clear"/>
            <w:tcMar>
              <w:top w:type="dxa" w:w="100"/>
              <w:left w:type="dxa" w:w="200"/>
              <w:bottom w:type="dxa" w:w="100"/>
              <w:right w:type="dxa" w:w="200"/>
            </w:tcMar>
          </w:tcPr>
          <w:p>
            <w:r>
              <w:rPr>
                <w:rFonts w:ascii="Roboto" w:cs="Roboto" w:eastAsia="Roboto" w:hAnsi="Roboto"/>
                <w:b/>
                <w:bCs/>
                <w:color w:val="FFFFFF"/>
                <w:sz w:val="24"/>
                <w:szCs w:val="24"/>
              </w:rPr>
              <w:t xml:space="preserve">Network Readiness</w:t>
            </w:r>
          </w:p>
          <w:p>
            <w:r>
              <w:rPr>
                <w:rFonts w:ascii="Roboto" w:cs="Roboto" w:eastAsia="Roboto" w:hAnsi="Roboto"/>
                <w:color w:val="CCE8E8"/>
                <w:sz w:val="18"/>
                <w:szCs w:val="18"/>
              </w:rPr>
              <w:t xml:space="preserve">Catalogue published → ONIX validated → Participant visible in directory</w:t>
            </w:r>
          </w:p>
        </w:tc>
      </w:tr>
    </w:tbl>
    <w:p>
      <w:pPr>
        <w:spacing w:before="10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The participant is admitted but has not transacted yet. The SNP publishes their catalogue across three data layers — static, real-time, and rules-based. Each layer is pre-translated by the Translation Service. ONIX validates the catalogue publication against network compliance rules. The participant becomes visible in the network directory via ION Central.</w:t>
      </w:r>
    </w:p>
    <w:p>
      <w:pPr>
        <w:spacing w:before="8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6080"/>
      </w:tblGrid>
      <w:tr>
        <w:tc>
          <w:tcPr>
            <w:tcW w:type="dxa" w:w="16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Layer</w:t>
            </w:r>
          </w:p>
        </w:tc>
        <w:tc>
          <w:tcPr>
            <w:tcW w:type="dxa" w:w="24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Update Frequency</w:t>
            </w:r>
          </w:p>
        </w:tc>
        <w:tc>
          <w:tcPr>
            <w:tcW w:type="dxa" w:w="608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Examples</w:t>
            </w:r>
          </w:p>
        </w:tc>
      </w:tr>
      <w:tr>
        <w:tc>
          <w:tcPr>
            <w:tcW w:type="dxa" w:w="160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bCs/>
                <w:color w:val="0A7373"/>
                <w:sz w:val="19"/>
                <w:szCs w:val="19"/>
              </w:rPr>
              <w:t xml:space="preserve">Static</w:t>
            </w:r>
          </w:p>
        </w:tc>
        <w:tc>
          <w:tcPr>
            <w:tcW w:type="dxa" w:w="24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Low — infrequent</w:t>
            </w:r>
          </w:p>
        </w:tc>
        <w:tc>
          <w:tcPr>
            <w:tcW w:type="dxa" w:w="6080"/>
            <w:tcBorders>
              <w:top w:val="single" w:color="F1F5F9" w:sz="1"/>
              <w:left w:val="single" w:color="F1F5F9" w:sz="1"/>
              <w:bottom w:val="single" w:color="F1F5F9" w:sz="1"/>
              <w:right w:val="single" w:color="F1F5F9" w:sz="1"/>
            </w:tcBorders>
            <w:shd w:fill="F1F5F9" w:val="clear"/>
            <w:tcMar>
              <w:top w:type="dxa" w:w="90"/>
              <w:left w:type="dxa" w:w="140"/>
              <w:bottom w:type="dxa" w:w="90"/>
              <w:right w:type="dxa" w:w="140"/>
            </w:tcMar>
            <w:vAlign w:val="top"/>
          </w:tcPr>
          <w:p>
            <w:r>
              <w:rPr>
                <w:rFonts w:ascii="Roboto" w:cs="Roboto" w:eastAsia="Roboto" w:hAnsi="Roboto"/>
                <w:b w:val="false"/>
                <w:bCs w:val="false"/>
                <w:color w:val="64748B"/>
                <w:sz w:val="19"/>
                <w:szCs w:val="19"/>
              </w:rPr>
              <w:t xml:space="preserve">Product master, seller profile, operating hours, service area, pricing structures</w:t>
            </w:r>
          </w:p>
        </w:tc>
      </w:tr>
      <w:tr>
        <w:tc>
          <w:tcPr>
            <w:tcW w:type="dxa" w:w="1600"/>
            <w:tcBorders>
              <w:top w:val="single" w:color="FEF6E4" w:sz="1"/>
              <w:left w:val="single" w:color="FEF6E4" w:sz="1"/>
              <w:bottom w:val="single" w:color="FEF6E4" w:sz="1"/>
              <w:right w:val="single" w:color="FEF6E4" w:sz="1"/>
            </w:tcBorders>
            <w:shd w:fill="FEF6E4" w:val="clear"/>
            <w:tcMar>
              <w:top w:type="dxa" w:w="90"/>
              <w:left w:type="dxa" w:w="140"/>
              <w:bottom w:type="dxa" w:w="90"/>
              <w:right w:type="dxa" w:w="140"/>
            </w:tcMar>
            <w:vAlign w:val="top"/>
          </w:tcPr>
          <w:p>
            <w:r>
              <w:rPr>
                <w:rFonts w:ascii="Roboto" w:cs="Roboto" w:eastAsia="Roboto" w:hAnsi="Roboto"/>
                <w:b/>
                <w:bCs/>
                <w:color w:val="C47A00"/>
                <w:sz w:val="19"/>
                <w:szCs w:val="19"/>
              </w:rPr>
              <w:t xml:space="preserve">Real-time</w:t>
            </w:r>
          </w:p>
        </w:tc>
        <w:tc>
          <w:tcPr>
            <w:tcW w:type="dxa" w:w="24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High — continuous</w:t>
            </w:r>
          </w:p>
        </w:tc>
        <w:tc>
          <w:tcPr>
            <w:tcW w:type="dxa" w:w="6080"/>
            <w:tcBorders>
              <w:top w:val="single" w:color="F1F5F9" w:sz="1"/>
              <w:left w:val="single" w:color="F1F5F9" w:sz="1"/>
              <w:bottom w:val="single" w:color="F1F5F9" w:sz="1"/>
              <w:right w:val="single" w:color="F1F5F9" w:sz="1"/>
            </w:tcBorders>
            <w:shd w:fill="F1F5F9" w:val="clear"/>
            <w:tcMar>
              <w:top w:type="dxa" w:w="90"/>
              <w:left w:type="dxa" w:w="140"/>
              <w:bottom w:type="dxa" w:w="90"/>
              <w:right w:type="dxa" w:w="140"/>
            </w:tcMar>
            <w:vAlign w:val="top"/>
          </w:tcPr>
          <w:p>
            <w:r>
              <w:rPr>
                <w:rFonts w:ascii="Roboto" w:cs="Roboto" w:eastAsia="Roboto" w:hAnsi="Roboto"/>
                <w:b w:val="false"/>
                <w:bCs w:val="false"/>
                <w:color w:val="64748B"/>
                <w:sz w:val="19"/>
                <w:szCs w:val="19"/>
              </w:rPr>
              <w:t xml:space="preserve">Inventory levels, live serviceability, delivery slot availability</w:t>
            </w:r>
          </w:p>
        </w:tc>
      </w:tr>
      <w:tr>
        <w:tc>
          <w:tcPr>
            <w:tcW w:type="dxa" w:w="1600"/>
            <w:tcBorders>
              <w:top w:val="single" w:color="F0EBF8" w:sz="1"/>
              <w:left w:val="single" w:color="F0EBF8" w:sz="1"/>
              <w:bottom w:val="single" w:color="F0EBF8" w:sz="1"/>
              <w:right w:val="single" w:color="F0EBF8" w:sz="1"/>
            </w:tcBorders>
            <w:shd w:fill="F0EBF8" w:val="clear"/>
            <w:tcMar>
              <w:top w:type="dxa" w:w="90"/>
              <w:left w:type="dxa" w:w="140"/>
              <w:bottom w:type="dxa" w:w="90"/>
              <w:right w:type="dxa" w:w="140"/>
            </w:tcMar>
            <w:vAlign w:val="top"/>
          </w:tcPr>
          <w:p>
            <w:r>
              <w:rPr>
                <w:rFonts w:ascii="Roboto" w:cs="Roboto" w:eastAsia="Roboto" w:hAnsi="Roboto"/>
                <w:b/>
                <w:bCs/>
                <w:color w:val="5B2D8E"/>
                <w:sz w:val="19"/>
                <w:szCs w:val="19"/>
              </w:rPr>
              <w:t xml:space="preserve">Rules-based</w:t>
            </w:r>
          </w:p>
        </w:tc>
        <w:tc>
          <w:tcPr>
            <w:tcW w:type="dxa" w:w="24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Trigger-governed</w:t>
            </w:r>
          </w:p>
        </w:tc>
        <w:tc>
          <w:tcPr>
            <w:tcW w:type="dxa" w:w="6080"/>
            <w:tcBorders>
              <w:top w:val="single" w:color="F1F5F9" w:sz="1"/>
              <w:left w:val="single" w:color="F1F5F9" w:sz="1"/>
              <w:bottom w:val="single" w:color="F1F5F9" w:sz="1"/>
              <w:right w:val="single" w:color="F1F5F9" w:sz="1"/>
            </w:tcBorders>
            <w:shd w:fill="F1F5F9" w:val="clear"/>
            <w:tcMar>
              <w:top w:type="dxa" w:w="90"/>
              <w:left w:type="dxa" w:w="140"/>
              <w:bottom w:type="dxa" w:w="90"/>
              <w:right w:type="dxa" w:w="140"/>
            </w:tcMar>
            <w:vAlign w:val="top"/>
          </w:tcPr>
          <w:p>
            <w:r>
              <w:rPr>
                <w:rFonts w:ascii="Roboto" w:cs="Roboto" w:eastAsia="Roboto" w:hAnsi="Roboto"/>
                <w:b w:val="false"/>
                <w:bCs w:val="false"/>
                <w:color w:val="64748B"/>
                <w:sz w:val="19"/>
                <w:szCs w:val="19"/>
              </w:rPr>
              <w:t xml:space="preserve">Offers, dynamic pricing, area-based pricing, customer-segment pricing, seasonal pricing, day / time-of-week rules</w:t>
            </w:r>
          </w:p>
        </w:tc>
      </w:tr>
    </w:tbl>
    <w:p>
      <w:pPr>
        <w:spacing w:before="16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0A7373" w:sz="1"/>
              <w:left w:val="single" w:color="0A7373" w:sz="1"/>
              <w:bottom w:val="single" w:color="0A7373" w:sz="1"/>
              <w:right w:val="single" w:color="0A7373" w:sz="1"/>
            </w:tcBorders>
            <w:shd w:fill="0A7373" w:val="clear"/>
            <w:tcMar>
              <w:top w:type="dxa" w:w="120"/>
              <w:left w:type="dxa" w:w="100"/>
              <w:bottom w:type="dxa" w:w="120"/>
              <w:right w:type="dxa" w:w="100"/>
            </w:tcMar>
            <w:vAlign w:val="center"/>
          </w:tcPr>
          <w:p>
            <w:pPr>
              <w:jc w:val="center"/>
            </w:pPr>
            <w:r>
              <w:rPr>
                <w:rFonts w:ascii="Roboto" w:cs="Roboto" w:eastAsia="Roboto" w:hAnsi="Roboto"/>
                <w:b/>
                <w:bCs/>
                <w:color w:val="FFFFFF"/>
                <w:sz w:val="32"/>
                <w:szCs w:val="32"/>
              </w:rPr>
              <w:t xml:space="preserve">P2</w:t>
            </w:r>
          </w:p>
        </w:tc>
        <w:tc>
          <w:tcPr>
            <w:tcW w:type="dxa" w:w="9280"/>
            <w:tcBorders>
              <w:top w:val="single" w:color="0A7373" w:sz="1"/>
              <w:left w:val="single" w:color="0A7373" w:sz="1"/>
              <w:bottom w:val="single" w:color="0A7373" w:sz="1"/>
              <w:right w:val="single" w:color="0A7373" w:sz="1"/>
            </w:tcBorders>
            <w:shd w:fill="0A7373" w:val="clear"/>
            <w:tcMar>
              <w:top w:type="dxa" w:w="100"/>
              <w:left w:type="dxa" w:w="200"/>
              <w:bottom w:type="dxa" w:w="100"/>
              <w:right w:type="dxa" w:w="200"/>
            </w:tcMar>
          </w:tcPr>
          <w:p>
            <w:r>
              <w:rPr>
                <w:rFonts w:ascii="Roboto" w:cs="Roboto" w:eastAsia="Roboto" w:hAnsi="Roboto"/>
                <w:b/>
                <w:bCs/>
                <w:color w:val="FFFFFF"/>
                <w:sz w:val="24"/>
                <w:szCs w:val="24"/>
              </w:rPr>
              <w:t xml:space="preserve">Discovery &amp; Quote</w:t>
            </w:r>
          </w:p>
          <w:p>
            <w:r>
              <w:rPr>
                <w:rFonts w:ascii="Roboto" w:cs="Roboto" w:eastAsia="Roboto" w:hAnsi="Roboto"/>
                <w:color w:val="CCE8E8"/>
                <w:sz w:val="18"/>
                <w:szCs w:val="18"/>
              </w:rPr>
              <w:t xml:space="preserve">Buyer searches → Catalogue sync → Pre-select quote resolved → Confirmed quote</w:t>
            </w:r>
          </w:p>
        </w:tc>
      </w:tr>
    </w:tbl>
    <w:p>
      <w:pPr>
        <w:spacing w:before="10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The buyer discovers the seller through the network. The BNP receives catalogue data via the Catalogue Replication service. Before the select call is made, the Pre-select Quote Engine at the SNP Node is invoked to resolve live price, inventory, and serviceability — eliminating the round-trip latency that makes async select unreliable for fast-changing data. The phase ends when the buyer has a confirmed quote but no committed order.</w:t>
      </w:r>
    </w:p>
    <w:p>
      <w:pPr>
        <w:spacing w:before="16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0D9E9E" w:sz="1"/>
              <w:left w:val="single" w:color="0D9E9E" w:sz="1"/>
              <w:bottom w:val="single" w:color="0D9E9E" w:sz="1"/>
              <w:right w:val="single" w:color="0D9E9E" w:sz="1"/>
            </w:tcBorders>
            <w:shd w:fill="0D9E9E" w:val="clear"/>
            <w:tcMar>
              <w:top w:type="dxa" w:w="120"/>
              <w:left w:type="dxa" w:w="100"/>
              <w:bottom w:type="dxa" w:w="120"/>
              <w:right w:type="dxa" w:w="100"/>
            </w:tcMar>
            <w:vAlign w:val="center"/>
          </w:tcPr>
          <w:p>
            <w:pPr>
              <w:jc w:val="center"/>
            </w:pPr>
            <w:r>
              <w:rPr>
                <w:rFonts w:ascii="Roboto" w:cs="Roboto" w:eastAsia="Roboto" w:hAnsi="Roboto"/>
                <w:b/>
                <w:bCs/>
                <w:color w:val="FFFFFF"/>
                <w:sz w:val="32"/>
                <w:szCs w:val="32"/>
              </w:rPr>
              <w:t xml:space="preserve">P3</w:t>
            </w:r>
          </w:p>
        </w:tc>
        <w:tc>
          <w:tcPr>
            <w:tcW w:type="dxa" w:w="9280"/>
            <w:tcBorders>
              <w:top w:val="single" w:color="0D9E9E" w:sz="1"/>
              <w:left w:val="single" w:color="0D9E9E" w:sz="1"/>
              <w:bottom w:val="single" w:color="0D9E9E" w:sz="1"/>
              <w:right w:val="single" w:color="0D9E9E" w:sz="1"/>
            </w:tcBorders>
            <w:shd w:fill="0D9E9E" w:val="clear"/>
            <w:tcMar>
              <w:top w:type="dxa" w:w="100"/>
              <w:left w:type="dxa" w:w="200"/>
              <w:bottom w:type="dxa" w:w="100"/>
              <w:right w:type="dxa" w:w="200"/>
            </w:tcMar>
          </w:tcPr>
          <w:p>
            <w:r>
              <w:rPr>
                <w:rFonts w:ascii="Roboto" w:cs="Roboto" w:eastAsia="Roboto" w:hAnsi="Roboto"/>
                <w:b/>
                <w:bCs/>
                <w:color w:val="FFFFFF"/>
                <w:sz w:val="24"/>
                <w:szCs w:val="24"/>
              </w:rPr>
              <w:t xml:space="preserve">Order Commitment</w:t>
            </w:r>
          </w:p>
          <w:p>
            <w:r>
              <w:rPr>
                <w:rFonts w:ascii="Roboto" w:cs="Roboto" w:eastAsia="Roboto" w:hAnsi="Roboto"/>
                <w:color w:val="CCE8E8"/>
                <w:sz w:val="18"/>
                <w:szCs w:val="18"/>
              </w:rPr>
              <w:t xml:space="preserve">Select → Init → Payment collected → TLC created → Order confirmed</w:t>
            </w:r>
          </w:p>
        </w:tc>
      </w:tr>
    </w:tbl>
    <w:p>
      <w:pPr>
        <w:spacing w:before="10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The buyer commits to the order. The BNP sends the select call, the SNP confirms. Init is sent with full order terms. Payment is collected and held in escrow. On confirm, the TLC Contract Record is created at ION Core — this is the non-repudiable record of what both parties have agreed. The TLC captures six elements that cannot be disputed after confirmation.</w:t>
      </w:r>
    </w:p>
    <w:p>
      <w:pPr>
        <w:spacing w:before="8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TLC Element</w:t>
            </w:r>
          </w:p>
        </w:tc>
        <w:tc>
          <w:tcPr>
            <w:tcW w:type="dxa" w:w="828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What Is Captured</w:t>
            </w:r>
          </w:p>
        </w:tc>
      </w:tr>
      <w:tr>
        <w:tc>
          <w:tcPr>
            <w:tcW w:type="dxa" w:w="180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bCs/>
                <w:color w:val="0A7373"/>
                <w:sz w:val="19"/>
                <w:szCs w:val="19"/>
              </w:rPr>
              <w:t xml:space="preserve">Product Terms</w:t>
            </w:r>
          </w:p>
        </w:tc>
        <w:tc>
          <w:tcPr>
            <w:tcW w:type="dxa" w:w="828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What is sold — item, quantity, condition, description. Bahasa Indonesia authoritative.</w:t>
            </w:r>
          </w:p>
        </w:tc>
      </w:tr>
      <w:tr>
        <w:tc>
          <w:tcPr>
            <w:tcW w:type="dxa" w:w="180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bCs/>
                <w:color w:val="0A7373"/>
                <w:sz w:val="19"/>
                <w:szCs w:val="19"/>
              </w:rPr>
              <w:t xml:space="preserve">Fulfillment Terms</w:t>
            </w:r>
          </w:p>
        </w:tc>
        <w:tc>
          <w:tcPr>
            <w:tcW w:type="dxa" w:w="828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How and when it will be delivered — method, SLA, responsibility chain.</w:t>
            </w:r>
          </w:p>
        </w:tc>
      </w:tr>
      <w:tr>
        <w:tc>
          <w:tcPr>
            <w:tcW w:type="dxa" w:w="180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bCs/>
                <w:color w:val="0A7373"/>
                <w:sz w:val="19"/>
                <w:szCs w:val="19"/>
              </w:rPr>
              <w:t xml:space="preserve">Payment Terms</w:t>
            </w:r>
          </w:p>
        </w:tc>
        <w:tc>
          <w:tcPr>
            <w:tcW w:type="dxa" w:w="828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What is paid, how, and the agreed split across parties.</w:t>
            </w:r>
          </w:p>
        </w:tc>
      </w:tr>
      <w:tr>
        <w:tc>
          <w:tcPr>
            <w:tcW w:type="dxa" w:w="180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bCs/>
                <w:color w:val="0A7373"/>
                <w:sz w:val="19"/>
                <w:szCs w:val="19"/>
              </w:rPr>
              <w:t xml:space="preserve">Penalty Terms</w:t>
            </w:r>
          </w:p>
        </w:tc>
        <w:tc>
          <w:tcPr>
            <w:tcW w:type="dxa" w:w="828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What happens if either party does not perform as agreed — amounts, triggers, calculation method.</w:t>
            </w:r>
          </w:p>
        </w:tc>
      </w:tr>
      <w:tr>
        <w:tc>
          <w:tcPr>
            <w:tcW w:type="dxa" w:w="180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bCs/>
                <w:color w:val="0A7373"/>
                <w:sz w:val="19"/>
                <w:szCs w:val="19"/>
              </w:rPr>
              <w:t xml:space="preserve">Modification Terms</w:t>
            </w:r>
          </w:p>
        </w:tc>
        <w:tc>
          <w:tcPr>
            <w:tcW w:type="dxa" w:w="828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Under what conditions the order can be updated or cancelled by either party.</w:t>
            </w:r>
          </w:p>
        </w:tc>
      </w:tr>
      <w:tr>
        <w:tc>
          <w:tcPr>
            <w:tcW w:type="dxa" w:w="180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bCs/>
                <w:color w:val="0A7373"/>
                <w:sz w:val="19"/>
                <w:szCs w:val="19"/>
              </w:rPr>
              <w:t xml:space="preserve">Static Terms Reference</w:t>
            </w:r>
          </w:p>
        </w:tc>
        <w:tc>
          <w:tcPr>
            <w:tcW w:type="dxa" w:w="828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Version of Network Static Terms (Tier 1) and Sector Static Terms (Tier 2) in force at time of confirmation. Incorporated by reference — not repeated in full.</w:t>
            </w:r>
          </w:p>
        </w:tc>
      </w:tr>
    </w:tbl>
    <w:p>
      <w:pPr>
        <w:spacing w:before="16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0A7373" w:sz="1"/>
              <w:left w:val="single" w:color="0A7373" w:sz="1"/>
              <w:bottom w:val="single" w:color="0A7373" w:sz="1"/>
              <w:right w:val="single" w:color="0A7373" w:sz="1"/>
            </w:tcBorders>
            <w:shd w:fill="0A7373" w:val="clear"/>
            <w:tcMar>
              <w:top w:type="dxa" w:w="120"/>
              <w:left w:type="dxa" w:w="100"/>
              <w:bottom w:type="dxa" w:w="120"/>
              <w:right w:type="dxa" w:w="100"/>
            </w:tcMar>
            <w:vAlign w:val="center"/>
          </w:tcPr>
          <w:p>
            <w:pPr>
              <w:jc w:val="center"/>
            </w:pPr>
            <w:r>
              <w:rPr>
                <w:rFonts w:ascii="Roboto" w:cs="Roboto" w:eastAsia="Roboto" w:hAnsi="Roboto"/>
                <w:b/>
                <w:bCs/>
                <w:color w:val="FFFFFF"/>
                <w:sz w:val="32"/>
                <w:szCs w:val="32"/>
              </w:rPr>
              <w:t xml:space="preserve">P4</w:t>
            </w:r>
          </w:p>
        </w:tc>
        <w:tc>
          <w:tcPr>
            <w:tcW w:type="dxa" w:w="9280"/>
            <w:tcBorders>
              <w:top w:val="single" w:color="0A7373" w:sz="1"/>
              <w:left w:val="single" w:color="0A7373" w:sz="1"/>
              <w:bottom w:val="single" w:color="0A7373" w:sz="1"/>
              <w:right w:val="single" w:color="0A7373" w:sz="1"/>
            </w:tcBorders>
            <w:shd w:fill="0A7373" w:val="clear"/>
            <w:tcMar>
              <w:top w:type="dxa" w:w="100"/>
              <w:left w:type="dxa" w:w="200"/>
              <w:bottom w:type="dxa" w:w="100"/>
              <w:right w:type="dxa" w:w="200"/>
            </w:tcMar>
          </w:tcPr>
          <w:p>
            <w:r>
              <w:rPr>
                <w:rFonts w:ascii="Roboto" w:cs="Roboto" w:eastAsia="Roboto" w:hAnsi="Roboto"/>
                <w:b/>
                <w:bCs/>
                <w:color w:val="FFFFFF"/>
                <w:sz w:val="24"/>
                <w:szCs w:val="24"/>
              </w:rPr>
              <w:t xml:space="preserve">Fulfillment</w:t>
            </w:r>
          </w:p>
          <w:p>
            <w:r>
              <w:rPr>
                <w:rFonts w:ascii="Roboto" w:cs="Roboto" w:eastAsia="Roboto" w:hAnsi="Roboto"/>
                <w:color w:val="CCE8E8"/>
                <w:sz w:val="18"/>
                <w:szCs w:val="18"/>
              </w:rPr>
              <w:t xml:space="preserve">Fulfillment updates → Communication → Modifications → Active order support</w:t>
            </w:r>
          </w:p>
        </w:tc>
      </w:tr>
    </w:tbl>
    <w:p>
      <w:pPr>
        <w:spacing w:before="10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The order is active. Fulfillment updates flow from seller to buyer as per TLC-defined terms. Buyer, seller, and delivery agent can communicate via Order-Scoped Communication (text, audio, video) scoped to the order ID and bound to verified participant identities. If either party initiates a modification or cancellation, the Modification State Machine is created and TLC Administration validates whether it is permitted under agreed terms. Penalties are calculated automatically where applicable.</w:t>
      </w:r>
    </w:p>
    <w:p>
      <w:pPr>
        <w:spacing w:before="16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5B2D8E" w:sz="1"/>
              <w:left w:val="single" w:color="5B2D8E" w:sz="1"/>
              <w:bottom w:val="single" w:color="5B2D8E" w:sz="1"/>
              <w:right w:val="single" w:color="5B2D8E" w:sz="1"/>
            </w:tcBorders>
            <w:shd w:fill="5B2D8E" w:val="clear"/>
            <w:tcMar>
              <w:top w:type="dxa" w:w="120"/>
              <w:left w:type="dxa" w:w="100"/>
              <w:bottom w:type="dxa" w:w="120"/>
              <w:right w:type="dxa" w:w="100"/>
            </w:tcMar>
            <w:vAlign w:val="center"/>
          </w:tcPr>
          <w:p>
            <w:pPr>
              <w:jc w:val="center"/>
            </w:pPr>
            <w:r>
              <w:rPr>
                <w:rFonts w:ascii="Roboto" w:cs="Roboto" w:eastAsia="Roboto" w:hAnsi="Roboto"/>
                <w:b/>
                <w:bCs/>
                <w:color w:val="FFFFFF"/>
                <w:sz w:val="32"/>
                <w:szCs w:val="32"/>
              </w:rPr>
              <w:t xml:space="preserve">P5</w:t>
            </w:r>
          </w:p>
        </w:tc>
        <w:tc>
          <w:tcPr>
            <w:tcW w:type="dxa" w:w="9280"/>
            <w:tcBorders>
              <w:top w:val="single" w:color="5B2D8E" w:sz="1"/>
              <w:left w:val="single" w:color="5B2D8E" w:sz="1"/>
              <w:bottom w:val="single" w:color="5B2D8E" w:sz="1"/>
              <w:right w:val="single" w:color="5B2D8E" w:sz="1"/>
            </w:tcBorders>
            <w:shd w:fill="5B2D8E" w:val="clear"/>
            <w:tcMar>
              <w:top w:type="dxa" w:w="100"/>
              <w:left w:type="dxa" w:w="200"/>
              <w:bottom w:type="dxa" w:w="100"/>
              <w:right w:type="dxa" w:w="200"/>
            </w:tcMar>
          </w:tcPr>
          <w:p>
            <w:r>
              <w:rPr>
                <w:rFonts w:ascii="Roboto" w:cs="Roboto" w:eastAsia="Roboto" w:hAnsi="Roboto"/>
                <w:b/>
                <w:bCs/>
                <w:color w:val="FFFFFF"/>
                <w:sz w:val="24"/>
                <w:szCs w:val="24"/>
              </w:rPr>
              <w:t xml:space="preserve">Post-Fulfillment</w:t>
            </w:r>
          </w:p>
          <w:p>
            <w:r>
              <w:rPr>
                <w:rFonts w:ascii="Roboto" w:cs="Roboto" w:eastAsia="Roboto" w:hAnsi="Roboto"/>
                <w:color w:val="CCE8E8"/>
                <w:sz w:val="18"/>
                <w:szCs w:val="18"/>
              </w:rPr>
              <w:t xml:space="preserve">Grievance → Settlement calculation → Payout → Terminal state</w:t>
            </w:r>
          </w:p>
        </w:tc>
      </w:tr>
    </w:tbl>
    <w:p>
      <w:pPr>
        <w:spacing w:before="10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Once fulfillment is complete, the order enters post-fulfillment. The buyer may raise a grievance — quality, broken delivery, partial fulfillment. L1 grievance is handled at the NP Node by the apps. If unresolved within the TLC-defined window, it escalates to ION Core L2/L3 arbitration. Settlement cannot be released until the Grievance State Machine reaches Closed. The Settlement State Machine then calculates the final payout — adjusted for any modifications, penalties, or grievance outcomes — and triggers execution via BI-FAST rails.</w:t>
      </w:r>
    </w:p>
    <w:p>
      <w:pPr>
        <w:spacing w:before="16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single" w:color="C05621" w:sz="1"/>
              <w:left w:val="single" w:color="C05621" w:sz="1"/>
              <w:bottom w:val="single" w:color="C05621" w:sz="1"/>
              <w:right w:val="single" w:color="C05621" w:sz="1"/>
            </w:tcBorders>
            <w:shd w:fill="C05621" w:val="clear"/>
            <w:tcMar>
              <w:top w:type="dxa" w:w="120"/>
              <w:left w:type="dxa" w:w="100"/>
              <w:bottom w:type="dxa" w:w="120"/>
              <w:right w:type="dxa" w:w="100"/>
            </w:tcMar>
            <w:vAlign w:val="center"/>
          </w:tcPr>
          <w:p>
            <w:pPr>
              <w:jc w:val="center"/>
            </w:pPr>
            <w:r>
              <w:rPr>
                <w:rFonts w:ascii="Roboto" w:cs="Roboto" w:eastAsia="Roboto" w:hAnsi="Roboto"/>
                <w:b/>
                <w:bCs/>
                <w:color w:val="FFFFFF"/>
                <w:sz w:val="32"/>
                <w:szCs w:val="32"/>
              </w:rPr>
              <w:t xml:space="preserve">P6</w:t>
            </w:r>
          </w:p>
        </w:tc>
        <w:tc>
          <w:tcPr>
            <w:tcW w:type="dxa" w:w="9280"/>
            <w:tcBorders>
              <w:top w:val="single" w:color="C05621" w:sz="1"/>
              <w:left w:val="single" w:color="C05621" w:sz="1"/>
              <w:bottom w:val="single" w:color="C05621" w:sz="1"/>
              <w:right w:val="single" w:color="C05621" w:sz="1"/>
            </w:tcBorders>
            <w:shd w:fill="C05621" w:val="clear"/>
            <w:tcMar>
              <w:top w:type="dxa" w:w="100"/>
              <w:left w:type="dxa" w:w="200"/>
              <w:bottom w:type="dxa" w:w="100"/>
              <w:right w:type="dxa" w:w="200"/>
            </w:tcMar>
          </w:tcPr>
          <w:p>
            <w:r>
              <w:rPr>
                <w:rFonts w:ascii="Roboto" w:cs="Roboto" w:eastAsia="Roboto" w:hAnsi="Roboto"/>
                <w:b/>
                <w:bCs/>
                <w:color w:val="FFFFFF"/>
                <w:sz w:val="24"/>
                <w:szCs w:val="24"/>
              </w:rPr>
              <w:t xml:space="preserve">Terminal &amp; Network Intelligence</w:t>
            </w:r>
          </w:p>
          <w:p>
            <w:r>
              <w:rPr>
                <w:rFonts w:ascii="Roboto" w:cs="Roboto" w:eastAsia="Roboto" w:hAnsi="Roboto"/>
                <w:color w:val="CCE8E8"/>
                <w:sz w:val="18"/>
                <w:szCs w:val="18"/>
              </w:rPr>
              <w:t xml:space="preserve">Order terminal → Signals archived → Rating opens → Network operations act</w:t>
            </w:r>
          </w:p>
        </w:tc>
      </w:tr>
    </w:tbl>
    <w:p>
      <w:pPr>
        <w:spacing w:before="10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The order reaches terminal state — no further updates are permitted. The full signal record is archived in the Observability Platform. The rating and review window opens for both parties. ION Network Operations uses the aggregate signal data to identify patterns, flag underperforming participants, detect fraud signals, and manage proactive interventions before issues compound across the network.</w:t>
      </w:r>
    </w:p>
    <w:p>
      <w:pPr>
        <w:spacing w:before="160" w:after="0"/>
      </w:pPr>
      <w:r>
        <w:rPr>
          <w:rFonts w:ascii="Roboto" w:cs="Roboto" w:eastAsia="Roboto" w:hAnsi="Roboto"/>
          <w:color w:val="0F172A"/>
          <w:sz w:val="19"/>
          <w:szCs w:val="19"/>
        </w:rPr>
        <w:t xml:space="preserve"/>
      </w:r>
    </w:p>
    <w:p>
      <w:pPr>
        <w:pStyle w:val="Heading2"/>
        <w:spacing w:before="300" w:after="100"/>
      </w:pPr>
      <w:r>
        <w:rPr>
          <w:rFonts w:ascii="Roboto" w:cs="Roboto" w:eastAsia="Roboto" w:hAnsi="Roboto"/>
          <w:b/>
          <w:bCs/>
          <w:color w:val="0A7373"/>
          <w:sz w:val="28"/>
          <w:szCs w:val="28"/>
        </w:rPr>
        <w:t xml:space="preserve">3.1  Complete Sequence Table</w:t>
      </w:r>
    </w:p>
    <w:p>
      <w:pPr>
        <w:spacing w:before="8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
        <w:gridCol w:w="360"/>
        <w:gridCol w:w="1500"/>
        <w:gridCol w:w="3680"/>
        <w:gridCol w:w="2800"/>
        <w:gridCol w:w="820"/>
      </w:tblGrid>
      <w:tr>
        <w:tc>
          <w:tcPr>
            <w:tcW w:type="dxa" w:w="42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w:t>
            </w:r>
          </w:p>
        </w:tc>
        <w:tc>
          <w:tcPr>
            <w:tcW w:type="dxa" w:w="36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Ph</w:t>
            </w:r>
          </w:p>
        </w:tc>
        <w:tc>
          <w:tcPr>
            <w:tcW w:type="dxa" w:w="15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Party</w:t>
            </w:r>
          </w:p>
        </w:tc>
        <w:tc>
          <w:tcPr>
            <w:tcW w:type="dxa" w:w="368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Action</w:t>
            </w:r>
          </w:p>
        </w:tc>
        <w:tc>
          <w:tcPr>
            <w:tcW w:type="dxa" w:w="28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Components Invoked</w:t>
            </w:r>
          </w:p>
        </w:tc>
        <w:tc>
          <w:tcPr>
            <w:tcW w:type="dxa" w:w="82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Lang</w:t>
            </w:r>
          </w:p>
        </w:tc>
      </w:tr>
      <w:tr>
        <w:tc>
          <w:tcPr>
            <w:tcW w:type="dxa" w:w="42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9"/>
                <w:szCs w:val="19"/>
              </w:rPr>
              <w:t xml:space="preserve">1</w:t>
            </w:r>
          </w:p>
        </w:tc>
        <w:tc>
          <w:tcPr>
            <w:tcW w:type="dxa" w:w="360"/>
            <w:tcBorders>
              <w:top w:val="single" w:color="334155" w:sz="1"/>
              <w:left w:val="single" w:color="334155" w:sz="1"/>
              <w:bottom w:val="single" w:color="334155" w:sz="1"/>
              <w:right w:val="single" w:color="334155" w:sz="1"/>
            </w:tcBorders>
            <w:shd w:fill="334155" w:val="clear"/>
            <w:tcMar>
              <w:top w:type="dxa" w:w="80"/>
              <w:left w:type="dxa" w:w="60"/>
              <w:bottom w:type="dxa" w:w="80"/>
              <w:right w:type="dxa" w:w="60"/>
            </w:tcMar>
            <w:vAlign w:val="center"/>
          </w:tcPr>
          <w:p>
            <w:pPr>
              <w:jc w:val="center"/>
            </w:pPr>
            <w:r>
              <w:rPr>
                <w:rFonts w:ascii="Roboto" w:cs="Roboto" w:eastAsia="Roboto" w:hAnsi="Roboto"/>
                <w:b/>
                <w:bCs/>
                <w:color w:val="FFFFFF"/>
                <w:sz w:val="17"/>
                <w:szCs w:val="17"/>
              </w:rPr>
              <w:t xml:space="preserve">P0</w:t>
            </w:r>
          </w:p>
        </w:tc>
        <w:tc>
          <w:tcPr>
            <w:tcW w:type="dxa" w:w="1500"/>
            <w:tcBorders>
              <w:top w:val="single" w:color="CBD5E1" w:sz="1"/>
              <w:left w:val="single" w:color="CBD5E1" w:sz="1"/>
              <w:bottom w:val="single" w:color="CBD5E1" w:sz="1"/>
              <w:right w:val="single" w:color="CBD5E1" w:sz="1"/>
            </w:tcBorders>
            <w:shd w:fill="E6F4F4" w:val="clear"/>
            <w:tcMar>
              <w:top w:type="dxa" w:w="80"/>
              <w:left w:type="dxa" w:w="120"/>
              <w:bottom w:type="dxa" w:w="80"/>
              <w:right w:type="dxa" w:w="120"/>
            </w:tcMar>
          </w:tcPr>
          <w:p>
            <w:r>
              <w:rPr>
                <w:rFonts w:ascii="Roboto" w:cs="Roboto" w:eastAsia="Roboto" w:hAnsi="Roboto"/>
                <w:b/>
                <w:bCs/>
                <w:color w:val="0A7373"/>
                <w:sz w:val="18"/>
                <w:szCs w:val="18"/>
              </w:rPr>
              <w:t xml:space="preserve">Prospective NP</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Roboto" w:cs="Roboto" w:eastAsia="Roboto" w:hAnsi="Roboto"/>
                <w:color w:val="0F172A"/>
                <w:sz w:val="19"/>
                <w:szCs w:val="19"/>
              </w:rPr>
              <w:t xml:space="preserve">Submits registration via ION Central. Identity verified against e-KTP or NIB. Registry entry created. Credentials issued. ION Plug deployed.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Roboto" w:cs="Roboto" w:eastAsia="Roboto" w:hAnsi="Roboto"/>
                <w:i/>
                <w:iCs/>
                <w:color w:val="64748B"/>
                <w:sz w:val="18"/>
                <w:szCs w:val="18"/>
              </w:rPr>
              <w:t xml:space="preserve">Identity &amp; Onboarding, Registry, ION Plug, ION Sandbox</w:t>
            </w:r>
          </w:p>
        </w:tc>
        <w:tc>
          <w:tcPr>
            <w:tcW w:type="dxa" w:w="82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Roboto" w:cs="Roboto" w:eastAsia="Roboto" w:hAnsi="Roboto"/>
                <w:b w:val="false"/>
                <w:bCs w:val="false"/>
                <w:color w:val="C47A00"/>
                <w:sz w:val="17"/>
                <w:szCs w:val="17"/>
              </w:rPr>
              <w:t xml:space="preserve"/>
            </w:r>
          </w:p>
        </w:tc>
      </w:tr>
      <w:tr>
        <w:tc>
          <w:tcPr>
            <w:tcW w:type="dxa" w:w="42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9"/>
                <w:szCs w:val="19"/>
              </w:rPr>
              <w:t xml:space="preserve">2</w:t>
            </w:r>
          </w:p>
        </w:tc>
        <w:tc>
          <w:tcPr>
            <w:tcW w:type="dxa" w:w="360"/>
            <w:tcBorders>
              <w:top w:val="single" w:color="334155" w:sz="1"/>
              <w:left w:val="single" w:color="334155" w:sz="1"/>
              <w:bottom w:val="single" w:color="334155" w:sz="1"/>
              <w:right w:val="single" w:color="334155" w:sz="1"/>
            </w:tcBorders>
            <w:shd w:fill="334155" w:val="clear"/>
            <w:tcMar>
              <w:top w:type="dxa" w:w="80"/>
              <w:left w:type="dxa" w:w="60"/>
              <w:bottom w:type="dxa" w:w="80"/>
              <w:right w:type="dxa" w:w="60"/>
            </w:tcMar>
            <w:vAlign w:val="center"/>
          </w:tcPr>
          <w:p>
            <w:pPr>
              <w:jc w:val="center"/>
            </w:pPr>
            <w:r>
              <w:rPr>
                <w:rFonts w:ascii="Roboto" w:cs="Roboto" w:eastAsia="Roboto" w:hAnsi="Roboto"/>
                <w:b/>
                <w:bCs/>
                <w:color w:val="FFFFFF"/>
                <w:sz w:val="17"/>
                <w:szCs w:val="17"/>
              </w:rPr>
              <w:t xml:space="preserve">P0</w:t>
            </w:r>
          </w:p>
        </w:tc>
        <w:tc>
          <w:tcPr>
            <w:tcW w:type="dxa" w:w="1500"/>
            <w:tcBorders>
              <w:top w:val="single" w:color="CBD5E1" w:sz="1"/>
              <w:left w:val="single" w:color="CBD5E1" w:sz="1"/>
              <w:bottom w:val="single" w:color="CBD5E1" w:sz="1"/>
              <w:right w:val="single" w:color="CBD5E1" w:sz="1"/>
            </w:tcBorders>
            <w:shd w:fill="E6F4F4" w:val="clear"/>
            <w:tcMar>
              <w:top w:type="dxa" w:w="80"/>
              <w:left w:type="dxa" w:w="120"/>
              <w:bottom w:type="dxa" w:w="80"/>
              <w:right w:type="dxa" w:w="120"/>
            </w:tcMar>
          </w:tcPr>
          <w:p>
            <w:r>
              <w:rPr>
                <w:rFonts w:ascii="Roboto" w:cs="Roboto" w:eastAsia="Roboto" w:hAnsi="Roboto"/>
                <w:b/>
                <w:bCs/>
                <w:color w:val="0A7373"/>
                <w:sz w:val="18"/>
                <w:szCs w:val="18"/>
              </w:rPr>
              <w:t xml:space="preserve">ION Core</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Roboto" w:cs="Roboto" w:eastAsia="Roboto" w:hAnsi="Roboto"/>
                <w:color w:val="0F172A"/>
                <w:sz w:val="19"/>
                <w:szCs w:val="19"/>
              </w:rPr>
              <w:t xml:space="preserve">Network Static Terms (Tier 1) accepted as condition of admission. Sector Static Terms (Tier 2) accepted for applicable sectors. Version recorded against Registry entry.</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Roboto" w:cs="Roboto" w:eastAsia="Roboto" w:hAnsi="Roboto"/>
                <w:i/>
                <w:iCs/>
                <w:color w:val="64748B"/>
                <w:sz w:val="18"/>
                <w:szCs w:val="18"/>
              </w:rPr>
              <w:t xml:space="preserve">Static Terms (T1 &amp; T2), Registry, Network Policy Engine</w:t>
            </w:r>
          </w:p>
        </w:tc>
        <w:tc>
          <w:tcPr>
            <w:tcW w:type="dxa" w:w="820"/>
            <w:tcBorders>
              <w:top w:val="single" w:color="CBD5E1" w:sz="1"/>
              <w:left w:val="single" w:color="CBD5E1" w:sz="1"/>
              <w:bottom w:val="single" w:color="CBD5E1" w:sz="1"/>
              <w:right w:val="single" w:color="CBD5E1" w:sz="1"/>
            </w:tcBorders>
            <w:shd w:fill="FEF6E4" w:val="clear"/>
            <w:tcMar>
              <w:top w:type="dxa" w:w="80"/>
              <w:left w:type="dxa" w:w="80"/>
              <w:bottom w:type="dxa" w:w="80"/>
              <w:right w:type="dxa" w:w="80"/>
            </w:tcMar>
          </w:tcPr>
          <w:p>
            <w:pPr>
              <w:jc w:val="center"/>
            </w:pPr>
            <w:r>
              <w:rPr>
                <w:rFonts w:ascii="Roboto" w:cs="Roboto" w:eastAsia="Roboto" w:hAnsi="Roboto"/>
                <w:b/>
                <w:bCs/>
                <w:color w:val="C47A00"/>
                <w:sz w:val="17"/>
                <w:szCs w:val="17"/>
              </w:rPr>
              <w:t xml:space="preserve">BI = Legal</w:t>
            </w:r>
          </w:p>
        </w:tc>
      </w:tr>
      <w:tr>
        <w:tc>
          <w:tcPr>
            <w:tcW w:type="dxa" w:w="42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9"/>
                <w:szCs w:val="19"/>
              </w:rPr>
              <w:t xml:space="preserve">3</w:t>
            </w:r>
          </w:p>
        </w:tc>
        <w:tc>
          <w:tcPr>
            <w:tcW w:type="dxa" w:w="360"/>
            <w:tcBorders>
              <w:top w:val="single" w:color="334155" w:sz="1"/>
              <w:left w:val="single" w:color="334155" w:sz="1"/>
              <w:bottom w:val="single" w:color="334155" w:sz="1"/>
              <w:right w:val="single" w:color="334155" w:sz="1"/>
            </w:tcBorders>
            <w:shd w:fill="334155" w:val="clear"/>
            <w:tcMar>
              <w:top w:type="dxa" w:w="80"/>
              <w:left w:type="dxa" w:w="60"/>
              <w:bottom w:type="dxa" w:w="80"/>
              <w:right w:type="dxa" w:w="60"/>
            </w:tcMar>
            <w:vAlign w:val="center"/>
          </w:tcPr>
          <w:p>
            <w:pPr>
              <w:jc w:val="center"/>
            </w:pPr>
            <w:r>
              <w:rPr>
                <w:rFonts w:ascii="Roboto" w:cs="Roboto" w:eastAsia="Roboto" w:hAnsi="Roboto"/>
                <w:b/>
                <w:bCs/>
                <w:color w:val="FFFFFF"/>
                <w:sz w:val="17"/>
                <w:szCs w:val="17"/>
              </w:rPr>
              <w:t xml:space="preserve">P0</w:t>
            </w:r>
          </w:p>
        </w:tc>
        <w:tc>
          <w:tcPr>
            <w:tcW w:type="dxa" w:w="1500"/>
            <w:tcBorders>
              <w:top w:val="single" w:color="CBD5E1" w:sz="1"/>
              <w:left w:val="single" w:color="CBD5E1" w:sz="1"/>
              <w:bottom w:val="single" w:color="CBD5E1" w:sz="1"/>
              <w:right w:val="single" w:color="CBD5E1" w:sz="1"/>
            </w:tcBorders>
            <w:shd w:fill="E6F4F4" w:val="clear"/>
            <w:tcMar>
              <w:top w:type="dxa" w:w="80"/>
              <w:left w:type="dxa" w:w="120"/>
              <w:bottom w:type="dxa" w:w="80"/>
              <w:right w:type="dxa" w:w="120"/>
            </w:tcMar>
          </w:tcPr>
          <w:p>
            <w:r>
              <w:rPr>
                <w:rFonts w:ascii="Roboto" w:cs="Roboto" w:eastAsia="Roboto" w:hAnsi="Roboto"/>
                <w:b/>
                <w:bCs/>
                <w:color w:val="0A7373"/>
                <w:sz w:val="18"/>
                <w:szCs w:val="18"/>
              </w:rPr>
              <w:t xml:space="preserve">NP via Sandbox</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Roboto" w:cs="Roboto" w:eastAsia="Roboto" w:hAnsi="Roboto"/>
                <w:color w:val="0F172A"/>
                <w:sz w:val="19"/>
                <w:szCs w:val="19"/>
              </w:rPr>
              <w:t xml:space="preserve">Integration certified in ION Sandbox. End-to-end transaction flows validated against ONIX compliance rules. Certification status visible in ION Central Developer Portal.</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Roboto" w:cs="Roboto" w:eastAsia="Roboto" w:hAnsi="Roboto"/>
                <w:i/>
                <w:iCs/>
                <w:color w:val="64748B"/>
                <w:sz w:val="18"/>
                <w:szCs w:val="18"/>
              </w:rPr>
              <w:t xml:space="preserve">ION Sandbox, ONIX Ruleset, ION Dev Lab, Registry</w:t>
            </w:r>
          </w:p>
        </w:tc>
        <w:tc>
          <w:tcPr>
            <w:tcW w:type="dxa" w:w="82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Roboto" w:cs="Roboto" w:eastAsia="Roboto" w:hAnsi="Roboto"/>
                <w:b w:val="false"/>
                <w:bCs w:val="false"/>
                <w:color w:val="C47A00"/>
                <w:sz w:val="17"/>
                <w:szCs w:val="17"/>
              </w:rPr>
              <w:t xml:space="preserve"/>
            </w:r>
          </w:p>
        </w:tc>
      </w:tr>
      <w:tr>
        <w:tc>
          <w:tcPr>
            <w:tcW w:type="dxa" w:w="42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9"/>
                <w:szCs w:val="19"/>
              </w:rPr>
              <w:t xml:space="preserve">4</w:t>
            </w:r>
          </w:p>
        </w:tc>
        <w:tc>
          <w:tcPr>
            <w:tcW w:type="dxa" w:w="360"/>
            <w:tcBorders>
              <w:top w:val="single" w:color="1A3A6B" w:sz="1"/>
              <w:left w:val="single" w:color="1A3A6B" w:sz="1"/>
              <w:bottom w:val="single" w:color="1A3A6B" w:sz="1"/>
              <w:right w:val="single" w:color="1A3A6B" w:sz="1"/>
            </w:tcBorders>
            <w:shd w:fill="1A3A6B" w:val="clear"/>
            <w:tcMar>
              <w:top w:type="dxa" w:w="80"/>
              <w:left w:type="dxa" w:w="60"/>
              <w:bottom w:type="dxa" w:w="80"/>
              <w:right w:type="dxa" w:w="60"/>
            </w:tcMar>
            <w:vAlign w:val="center"/>
          </w:tcPr>
          <w:p>
            <w:pPr>
              <w:jc w:val="center"/>
            </w:pPr>
            <w:r>
              <w:rPr>
                <w:rFonts w:ascii="Roboto" w:cs="Roboto" w:eastAsia="Roboto" w:hAnsi="Roboto"/>
                <w:b/>
                <w:bCs/>
                <w:color w:val="FFFFFF"/>
                <w:sz w:val="17"/>
                <w:szCs w:val="17"/>
              </w:rPr>
              <w:t xml:space="preserve">P1</w:t>
            </w:r>
          </w:p>
        </w:tc>
        <w:tc>
          <w:tcPr>
            <w:tcW w:type="dxa" w:w="1500"/>
            <w:tcBorders>
              <w:top w:val="single" w:color="CBD5E1" w:sz="1"/>
              <w:left w:val="single" w:color="CBD5E1" w:sz="1"/>
              <w:bottom w:val="single" w:color="CBD5E1" w:sz="1"/>
              <w:right w:val="single" w:color="CBD5E1" w:sz="1"/>
            </w:tcBorders>
            <w:shd w:fill="E6F4F4" w:val="clear"/>
            <w:tcMar>
              <w:top w:type="dxa" w:w="80"/>
              <w:left w:type="dxa" w:w="120"/>
              <w:bottom w:type="dxa" w:w="80"/>
              <w:right w:type="dxa" w:w="120"/>
            </w:tcMar>
          </w:tcPr>
          <w:p>
            <w:r>
              <w:rPr>
                <w:rFonts w:ascii="Roboto" w:cs="Roboto" w:eastAsia="Roboto" w:hAnsi="Roboto"/>
                <w:b/>
                <w:bCs/>
                <w:color w:val="0A7373"/>
                <w:sz w:val="18"/>
                <w:szCs w:val="18"/>
              </w:rPr>
              <w:t xml:space="preserve">SNP</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Roboto" w:cs="Roboto" w:eastAsia="Roboto" w:hAnsi="Roboto"/>
                <w:color w:val="0F172A"/>
                <w:sz w:val="19"/>
                <w:szCs w:val="19"/>
              </w:rPr>
              <w:t xml:space="preserve">Publishes catalogue across three layers (Static, Real-time, Rules). Translation Service pre-translates Static layer. Real-time and Rules layers remain at SNP Node for live resolution.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Roboto" w:cs="Roboto" w:eastAsia="Roboto" w:hAnsi="Roboto"/>
                <w:i/>
                <w:iCs/>
                <w:color w:val="64748B"/>
                <w:sz w:val="18"/>
                <w:szCs w:val="18"/>
              </w:rPr>
              <w:t xml:space="preserve">Catalogue (all layers), Translation Service, ONIX Execution</w:t>
            </w:r>
          </w:p>
        </w:tc>
        <w:tc>
          <w:tcPr>
            <w:tcW w:type="dxa" w:w="820"/>
            <w:tcBorders>
              <w:top w:val="single" w:color="CBD5E1" w:sz="1"/>
              <w:left w:val="single" w:color="CBD5E1" w:sz="1"/>
              <w:bottom w:val="single" w:color="CBD5E1" w:sz="1"/>
              <w:right w:val="single" w:color="CBD5E1" w:sz="1"/>
            </w:tcBorders>
            <w:shd w:fill="FEF6E4" w:val="clear"/>
            <w:tcMar>
              <w:top w:type="dxa" w:w="80"/>
              <w:left w:type="dxa" w:w="80"/>
              <w:bottom w:type="dxa" w:w="80"/>
              <w:right w:type="dxa" w:w="80"/>
            </w:tcMar>
          </w:tcPr>
          <w:p>
            <w:pPr>
              <w:jc w:val="center"/>
            </w:pPr>
            <w:r>
              <w:rPr>
                <w:rFonts w:ascii="Roboto" w:cs="Roboto" w:eastAsia="Roboto" w:hAnsi="Roboto"/>
                <w:b/>
                <w:bCs/>
                <w:color w:val="C47A00"/>
                <w:sz w:val="17"/>
                <w:szCs w:val="17"/>
              </w:rPr>
              <w:t xml:space="preserve">BI ↔ EN</w:t>
            </w:r>
          </w:p>
        </w:tc>
      </w:tr>
      <w:tr>
        <w:tc>
          <w:tcPr>
            <w:tcW w:type="dxa" w:w="42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9"/>
                <w:szCs w:val="19"/>
              </w:rPr>
              <w:t xml:space="preserve">5</w:t>
            </w:r>
          </w:p>
        </w:tc>
        <w:tc>
          <w:tcPr>
            <w:tcW w:type="dxa" w:w="360"/>
            <w:tcBorders>
              <w:top w:val="single" w:color="1A3A6B" w:sz="1"/>
              <w:left w:val="single" w:color="1A3A6B" w:sz="1"/>
              <w:bottom w:val="single" w:color="1A3A6B" w:sz="1"/>
              <w:right w:val="single" w:color="1A3A6B" w:sz="1"/>
            </w:tcBorders>
            <w:shd w:fill="1A3A6B" w:val="clear"/>
            <w:tcMar>
              <w:top w:type="dxa" w:w="80"/>
              <w:left w:type="dxa" w:w="60"/>
              <w:bottom w:type="dxa" w:w="80"/>
              <w:right w:type="dxa" w:w="60"/>
            </w:tcMar>
            <w:vAlign w:val="center"/>
          </w:tcPr>
          <w:p>
            <w:pPr>
              <w:jc w:val="center"/>
            </w:pPr>
            <w:r>
              <w:rPr>
                <w:rFonts w:ascii="Roboto" w:cs="Roboto" w:eastAsia="Roboto" w:hAnsi="Roboto"/>
                <w:b/>
                <w:bCs/>
                <w:color w:val="FFFFFF"/>
                <w:sz w:val="17"/>
                <w:szCs w:val="17"/>
              </w:rPr>
              <w:t xml:space="preserve">P1</w:t>
            </w:r>
          </w:p>
        </w:tc>
        <w:tc>
          <w:tcPr>
            <w:tcW w:type="dxa" w:w="1500"/>
            <w:tcBorders>
              <w:top w:val="single" w:color="CBD5E1" w:sz="1"/>
              <w:left w:val="single" w:color="CBD5E1" w:sz="1"/>
              <w:bottom w:val="single" w:color="CBD5E1" w:sz="1"/>
              <w:right w:val="single" w:color="CBD5E1" w:sz="1"/>
            </w:tcBorders>
            <w:shd w:fill="E6F4F4" w:val="clear"/>
            <w:tcMar>
              <w:top w:type="dxa" w:w="80"/>
              <w:left w:type="dxa" w:w="120"/>
              <w:bottom w:type="dxa" w:w="80"/>
              <w:right w:type="dxa" w:w="120"/>
            </w:tcMar>
          </w:tcPr>
          <w:p>
            <w:r>
              <w:rPr>
                <w:rFonts w:ascii="Roboto" w:cs="Roboto" w:eastAsia="Roboto" w:hAnsi="Roboto"/>
                <w:b/>
                <w:bCs/>
                <w:color w:val="0A7373"/>
                <w:sz w:val="18"/>
                <w:szCs w:val="18"/>
              </w:rPr>
              <w:t xml:space="preserve">ION Core — ONIX</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Roboto" w:cs="Roboto" w:eastAsia="Roboto" w:hAnsi="Roboto"/>
                <w:color w:val="0F172A"/>
                <w:sz w:val="19"/>
                <w:szCs w:val="19"/>
              </w:rPr>
              <w:t xml:space="preserve">ONIX validates catalogue publication against network compliance rules. Participant becomes visible in ION Central directory.</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Roboto" w:cs="Roboto" w:eastAsia="Roboto" w:hAnsi="Roboto"/>
                <w:i/>
                <w:iCs/>
                <w:color w:val="64748B"/>
                <w:sz w:val="18"/>
                <w:szCs w:val="18"/>
              </w:rPr>
              <w:t xml:space="preserve">ONIX Ruleset, Network Policy Engine, Registry</w:t>
            </w:r>
          </w:p>
        </w:tc>
        <w:tc>
          <w:tcPr>
            <w:tcW w:type="dxa" w:w="82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Roboto" w:cs="Roboto" w:eastAsia="Roboto" w:hAnsi="Roboto"/>
                <w:b w:val="false"/>
                <w:bCs w:val="false"/>
                <w:color w:val="C47A00"/>
                <w:sz w:val="17"/>
                <w:szCs w:val="17"/>
              </w:rPr>
              <w:t xml:space="preserve"/>
            </w:r>
          </w:p>
        </w:tc>
      </w:tr>
      <w:tr>
        <w:tc>
          <w:tcPr>
            <w:tcW w:type="dxa" w:w="42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9"/>
                <w:szCs w:val="19"/>
              </w:rPr>
              <w:t xml:space="preserve">6</w:t>
            </w:r>
          </w:p>
        </w:tc>
        <w:tc>
          <w:tcPr>
            <w:tcW w:type="dxa" w:w="360"/>
            <w:tcBorders>
              <w:top w:val="single" w:color="0A7373" w:sz="1"/>
              <w:left w:val="single" w:color="0A7373" w:sz="1"/>
              <w:bottom w:val="single" w:color="0A7373" w:sz="1"/>
              <w:right w:val="single" w:color="0A7373" w:sz="1"/>
            </w:tcBorders>
            <w:shd w:fill="0A7373" w:val="clear"/>
            <w:tcMar>
              <w:top w:type="dxa" w:w="80"/>
              <w:left w:type="dxa" w:w="60"/>
              <w:bottom w:type="dxa" w:w="80"/>
              <w:right w:type="dxa" w:w="60"/>
            </w:tcMar>
            <w:vAlign w:val="center"/>
          </w:tcPr>
          <w:p>
            <w:pPr>
              <w:jc w:val="center"/>
            </w:pPr>
            <w:r>
              <w:rPr>
                <w:rFonts w:ascii="Roboto" w:cs="Roboto" w:eastAsia="Roboto" w:hAnsi="Roboto"/>
                <w:b/>
                <w:bCs/>
                <w:color w:val="FFFFFF"/>
                <w:sz w:val="17"/>
                <w:szCs w:val="17"/>
              </w:rPr>
              <w:t xml:space="preserve">P2</w:t>
            </w:r>
          </w:p>
        </w:tc>
        <w:tc>
          <w:tcPr>
            <w:tcW w:type="dxa" w:w="1500"/>
            <w:tcBorders>
              <w:top w:val="single" w:color="CBD5E1" w:sz="1"/>
              <w:left w:val="single" w:color="CBD5E1" w:sz="1"/>
              <w:bottom w:val="single" w:color="CBD5E1" w:sz="1"/>
              <w:right w:val="single" w:color="CBD5E1" w:sz="1"/>
            </w:tcBorders>
            <w:shd w:fill="E6F4F4" w:val="clear"/>
            <w:tcMar>
              <w:top w:type="dxa" w:w="80"/>
              <w:left w:type="dxa" w:w="120"/>
              <w:bottom w:type="dxa" w:w="80"/>
              <w:right w:type="dxa" w:w="120"/>
            </w:tcMar>
          </w:tcPr>
          <w:p>
            <w:r>
              <w:rPr>
                <w:rFonts w:ascii="Roboto" w:cs="Roboto" w:eastAsia="Roboto" w:hAnsi="Roboto"/>
                <w:b/>
                <w:bCs/>
                <w:color w:val="0A7373"/>
                <w:sz w:val="18"/>
                <w:szCs w:val="18"/>
              </w:rPr>
              <w:t xml:space="preserve">Buyer → BNP</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Roboto" w:cs="Roboto" w:eastAsia="Roboto" w:hAnsi="Roboto"/>
                <w:color w:val="0F172A"/>
                <w:sz w:val="19"/>
                <w:szCs w:val="19"/>
              </w:rPr>
              <w:t xml:space="preserve">Buyer searches and browses catalogue via BNP. BNP displays content in buyer's preferred language using pre-translated Static layer.</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Roboto" w:cs="Roboto" w:eastAsia="Roboto" w:hAnsi="Roboto"/>
                <w:i/>
                <w:iCs/>
                <w:color w:val="64748B"/>
                <w:sz w:val="18"/>
                <w:szCs w:val="18"/>
              </w:rPr>
              <w:t xml:space="preserve">Catalogue Replication (Real-time Sync), Translation Service</w:t>
            </w:r>
          </w:p>
        </w:tc>
        <w:tc>
          <w:tcPr>
            <w:tcW w:type="dxa" w:w="82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Roboto" w:cs="Roboto" w:eastAsia="Roboto" w:hAnsi="Roboto"/>
                <w:b w:val="false"/>
                <w:bCs w:val="false"/>
                <w:color w:val="C47A00"/>
                <w:sz w:val="17"/>
                <w:szCs w:val="17"/>
              </w:rPr>
              <w:t xml:space="preserve"/>
            </w:r>
          </w:p>
        </w:tc>
      </w:tr>
      <w:tr>
        <w:tc>
          <w:tcPr>
            <w:tcW w:type="dxa" w:w="42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9"/>
                <w:szCs w:val="19"/>
              </w:rPr>
              <w:t xml:space="preserve">7</w:t>
            </w:r>
          </w:p>
        </w:tc>
        <w:tc>
          <w:tcPr>
            <w:tcW w:type="dxa" w:w="360"/>
            <w:tcBorders>
              <w:top w:val="single" w:color="0A7373" w:sz="1"/>
              <w:left w:val="single" w:color="0A7373" w:sz="1"/>
              <w:bottom w:val="single" w:color="0A7373" w:sz="1"/>
              <w:right w:val="single" w:color="0A7373" w:sz="1"/>
            </w:tcBorders>
            <w:shd w:fill="0A7373" w:val="clear"/>
            <w:tcMar>
              <w:top w:type="dxa" w:w="80"/>
              <w:left w:type="dxa" w:w="60"/>
              <w:bottom w:type="dxa" w:w="80"/>
              <w:right w:type="dxa" w:w="60"/>
            </w:tcMar>
            <w:vAlign w:val="center"/>
          </w:tcPr>
          <w:p>
            <w:pPr>
              <w:jc w:val="center"/>
            </w:pPr>
            <w:r>
              <w:rPr>
                <w:rFonts w:ascii="Roboto" w:cs="Roboto" w:eastAsia="Roboto" w:hAnsi="Roboto"/>
                <w:b/>
                <w:bCs/>
                <w:color w:val="FFFFFF"/>
                <w:sz w:val="17"/>
                <w:szCs w:val="17"/>
              </w:rPr>
              <w:t xml:space="preserve">P2</w:t>
            </w:r>
          </w:p>
        </w:tc>
        <w:tc>
          <w:tcPr>
            <w:tcW w:type="dxa" w:w="1500"/>
            <w:tcBorders>
              <w:top w:val="single" w:color="CBD5E1" w:sz="1"/>
              <w:left w:val="single" w:color="CBD5E1" w:sz="1"/>
              <w:bottom w:val="single" w:color="CBD5E1" w:sz="1"/>
              <w:right w:val="single" w:color="CBD5E1" w:sz="1"/>
            </w:tcBorders>
            <w:shd w:fill="E6F4F4" w:val="clear"/>
            <w:tcMar>
              <w:top w:type="dxa" w:w="80"/>
              <w:left w:type="dxa" w:w="120"/>
              <w:bottom w:type="dxa" w:w="80"/>
              <w:right w:type="dxa" w:w="120"/>
            </w:tcMar>
          </w:tcPr>
          <w:p>
            <w:r>
              <w:rPr>
                <w:rFonts w:ascii="Roboto" w:cs="Roboto" w:eastAsia="Roboto" w:hAnsi="Roboto"/>
                <w:b/>
                <w:bCs/>
                <w:color w:val="0A7373"/>
                <w:sz w:val="18"/>
                <w:szCs w:val="18"/>
              </w:rPr>
              <w:t xml:space="preserve">BNP → SNP</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Roboto" w:cs="Roboto" w:eastAsia="Roboto" w:hAnsi="Roboto"/>
                <w:color w:val="0F172A"/>
                <w:sz w:val="19"/>
                <w:szCs w:val="19"/>
              </w:rPr>
              <w:t xml:space="preserve">BNP invokes Pre-select Quote Engine at SNP Node to resolve live price, inventory, and serviceability before committing to select call. Returns deterministic quote.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Roboto" w:cs="Roboto" w:eastAsia="Roboto" w:hAnsi="Roboto"/>
                <w:i/>
                <w:iCs/>
                <w:color w:val="64748B"/>
                <w:sz w:val="18"/>
                <w:szCs w:val="18"/>
              </w:rPr>
              <w:t xml:space="preserve">Pre-select Quote / Cache Engine, Catalogue Real-time Layer</w:t>
            </w:r>
          </w:p>
        </w:tc>
        <w:tc>
          <w:tcPr>
            <w:tcW w:type="dxa" w:w="82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Roboto" w:cs="Roboto" w:eastAsia="Roboto" w:hAnsi="Roboto"/>
                <w:b w:val="false"/>
                <w:bCs w:val="false"/>
                <w:color w:val="C47A00"/>
                <w:sz w:val="17"/>
                <w:szCs w:val="17"/>
              </w:rPr>
              <w:t xml:space="preserve"/>
            </w:r>
          </w:p>
        </w:tc>
      </w:tr>
      <w:tr>
        <w:tc>
          <w:tcPr>
            <w:tcW w:type="dxa" w:w="42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9"/>
                <w:szCs w:val="19"/>
              </w:rPr>
              <w:t xml:space="preserve">8</w:t>
            </w:r>
          </w:p>
        </w:tc>
        <w:tc>
          <w:tcPr>
            <w:tcW w:type="dxa" w:w="360"/>
            <w:tcBorders>
              <w:top w:val="single" w:color="0D9E9E" w:sz="1"/>
              <w:left w:val="single" w:color="0D9E9E" w:sz="1"/>
              <w:bottom w:val="single" w:color="0D9E9E" w:sz="1"/>
              <w:right w:val="single" w:color="0D9E9E" w:sz="1"/>
            </w:tcBorders>
            <w:shd w:fill="0D9E9E" w:val="clear"/>
            <w:tcMar>
              <w:top w:type="dxa" w:w="80"/>
              <w:left w:type="dxa" w:w="60"/>
              <w:bottom w:type="dxa" w:w="80"/>
              <w:right w:type="dxa" w:w="60"/>
            </w:tcMar>
            <w:vAlign w:val="center"/>
          </w:tcPr>
          <w:p>
            <w:pPr>
              <w:jc w:val="center"/>
            </w:pPr>
            <w:r>
              <w:rPr>
                <w:rFonts w:ascii="Roboto" w:cs="Roboto" w:eastAsia="Roboto" w:hAnsi="Roboto"/>
                <w:b/>
                <w:bCs/>
                <w:color w:val="FFFFFF"/>
                <w:sz w:val="17"/>
                <w:szCs w:val="17"/>
              </w:rPr>
              <w:t xml:space="preserve">P3</w:t>
            </w:r>
          </w:p>
        </w:tc>
        <w:tc>
          <w:tcPr>
            <w:tcW w:type="dxa" w:w="1500"/>
            <w:tcBorders>
              <w:top w:val="single" w:color="CBD5E1" w:sz="1"/>
              <w:left w:val="single" w:color="CBD5E1" w:sz="1"/>
              <w:bottom w:val="single" w:color="CBD5E1" w:sz="1"/>
              <w:right w:val="single" w:color="CBD5E1" w:sz="1"/>
            </w:tcBorders>
            <w:shd w:fill="E6F4F4" w:val="clear"/>
            <w:tcMar>
              <w:top w:type="dxa" w:w="80"/>
              <w:left w:type="dxa" w:w="120"/>
              <w:bottom w:type="dxa" w:w="80"/>
              <w:right w:type="dxa" w:w="120"/>
            </w:tcMar>
          </w:tcPr>
          <w:p>
            <w:r>
              <w:rPr>
                <w:rFonts w:ascii="Roboto" w:cs="Roboto" w:eastAsia="Roboto" w:hAnsi="Roboto"/>
                <w:b/>
                <w:bCs/>
                <w:color w:val="0A7373"/>
                <w:sz w:val="18"/>
                <w:szCs w:val="18"/>
              </w:rPr>
              <w:t xml:space="preserve">BNP → SNP</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Roboto" w:cs="Roboto" w:eastAsia="Roboto" w:hAnsi="Roboto"/>
                <w:color w:val="0F172A"/>
                <w:sz w:val="19"/>
                <w:szCs w:val="19"/>
              </w:rPr>
              <w:t xml:space="preserve">BNP sends select call. SNP confirms quote. ONIX validates message schema at both NP Nodes. Gateway routes message.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Roboto" w:cs="Roboto" w:eastAsia="Roboto" w:hAnsi="Roboto"/>
                <w:i/>
                <w:iCs/>
                <w:color w:val="64748B"/>
                <w:sz w:val="18"/>
                <w:szCs w:val="18"/>
              </w:rPr>
              <w:t xml:space="preserve">ONIX Execution (both nodes), Gateway / CDS</w:t>
            </w:r>
          </w:p>
        </w:tc>
        <w:tc>
          <w:tcPr>
            <w:tcW w:type="dxa" w:w="82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Roboto" w:cs="Roboto" w:eastAsia="Roboto" w:hAnsi="Roboto"/>
                <w:b w:val="false"/>
                <w:bCs w:val="false"/>
                <w:color w:val="C47A00"/>
                <w:sz w:val="17"/>
                <w:szCs w:val="17"/>
              </w:rPr>
              <w:t xml:space="preserve"/>
            </w:r>
          </w:p>
        </w:tc>
      </w:tr>
      <w:tr>
        <w:tc>
          <w:tcPr>
            <w:tcW w:type="dxa" w:w="42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9"/>
                <w:szCs w:val="19"/>
              </w:rPr>
              <w:t xml:space="preserve">9</w:t>
            </w:r>
          </w:p>
        </w:tc>
        <w:tc>
          <w:tcPr>
            <w:tcW w:type="dxa" w:w="360"/>
            <w:tcBorders>
              <w:top w:val="single" w:color="0D9E9E" w:sz="1"/>
              <w:left w:val="single" w:color="0D9E9E" w:sz="1"/>
              <w:bottom w:val="single" w:color="0D9E9E" w:sz="1"/>
              <w:right w:val="single" w:color="0D9E9E" w:sz="1"/>
            </w:tcBorders>
            <w:shd w:fill="0D9E9E" w:val="clear"/>
            <w:tcMar>
              <w:top w:type="dxa" w:w="80"/>
              <w:left w:type="dxa" w:w="60"/>
              <w:bottom w:type="dxa" w:w="80"/>
              <w:right w:type="dxa" w:w="60"/>
            </w:tcMar>
            <w:vAlign w:val="center"/>
          </w:tcPr>
          <w:p>
            <w:pPr>
              <w:jc w:val="center"/>
            </w:pPr>
            <w:r>
              <w:rPr>
                <w:rFonts w:ascii="Roboto" w:cs="Roboto" w:eastAsia="Roboto" w:hAnsi="Roboto"/>
                <w:b/>
                <w:bCs/>
                <w:color w:val="FFFFFF"/>
                <w:sz w:val="17"/>
                <w:szCs w:val="17"/>
              </w:rPr>
              <w:t xml:space="preserve">P3</w:t>
            </w:r>
          </w:p>
        </w:tc>
        <w:tc>
          <w:tcPr>
            <w:tcW w:type="dxa" w:w="1500"/>
            <w:tcBorders>
              <w:top w:val="single" w:color="CBD5E1" w:sz="1"/>
              <w:left w:val="single" w:color="CBD5E1" w:sz="1"/>
              <w:bottom w:val="single" w:color="CBD5E1" w:sz="1"/>
              <w:right w:val="single" w:color="CBD5E1" w:sz="1"/>
            </w:tcBorders>
            <w:shd w:fill="E6F4F4" w:val="clear"/>
            <w:tcMar>
              <w:top w:type="dxa" w:w="80"/>
              <w:left w:type="dxa" w:w="120"/>
              <w:bottom w:type="dxa" w:w="80"/>
              <w:right w:type="dxa" w:w="120"/>
            </w:tcMar>
          </w:tcPr>
          <w:p>
            <w:r>
              <w:rPr>
                <w:rFonts w:ascii="Roboto" w:cs="Roboto" w:eastAsia="Roboto" w:hAnsi="Roboto"/>
                <w:b/>
                <w:bCs/>
                <w:color w:val="0A7373"/>
                <w:sz w:val="18"/>
                <w:szCs w:val="18"/>
              </w:rPr>
              <w:t xml:space="preserve">BNP</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Roboto" w:cs="Roboto" w:eastAsia="Roboto" w:hAnsi="Roboto"/>
                <w:color w:val="0F172A"/>
                <w:sz w:val="19"/>
                <w:szCs w:val="19"/>
              </w:rPr>
              <w:t xml:space="preserve">BNP sends init with full order terms. Payment collected from buyer. Escrow hold created. Notification sent to SNP.</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Roboto" w:cs="Roboto" w:eastAsia="Roboto" w:hAnsi="Roboto"/>
                <w:i/>
                <w:iCs/>
                <w:color w:val="64748B"/>
                <w:sz w:val="18"/>
                <w:szCs w:val="18"/>
              </w:rPr>
              <w:t xml:space="preserve">Payment Collection &amp; Escrow, Notification &amp; Event Bus</w:t>
            </w:r>
          </w:p>
        </w:tc>
        <w:tc>
          <w:tcPr>
            <w:tcW w:type="dxa" w:w="82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Roboto" w:cs="Roboto" w:eastAsia="Roboto" w:hAnsi="Roboto"/>
                <w:b w:val="false"/>
                <w:bCs w:val="false"/>
                <w:color w:val="C47A00"/>
                <w:sz w:val="17"/>
                <w:szCs w:val="17"/>
              </w:rPr>
              <w:t xml:space="preserve"/>
            </w:r>
          </w:p>
        </w:tc>
      </w:tr>
      <w:tr>
        <w:tc>
          <w:tcPr>
            <w:tcW w:type="dxa" w:w="42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9"/>
                <w:szCs w:val="19"/>
              </w:rPr>
              <w:t xml:space="preserve">10</w:t>
            </w:r>
          </w:p>
        </w:tc>
        <w:tc>
          <w:tcPr>
            <w:tcW w:type="dxa" w:w="360"/>
            <w:tcBorders>
              <w:top w:val="single" w:color="0D9E9E" w:sz="1"/>
              <w:left w:val="single" w:color="0D9E9E" w:sz="1"/>
              <w:bottom w:val="single" w:color="0D9E9E" w:sz="1"/>
              <w:right w:val="single" w:color="0D9E9E" w:sz="1"/>
            </w:tcBorders>
            <w:shd w:fill="0D9E9E" w:val="clear"/>
            <w:tcMar>
              <w:top w:type="dxa" w:w="80"/>
              <w:left w:type="dxa" w:w="60"/>
              <w:bottom w:type="dxa" w:w="80"/>
              <w:right w:type="dxa" w:w="60"/>
            </w:tcMar>
            <w:vAlign w:val="center"/>
          </w:tcPr>
          <w:p>
            <w:pPr>
              <w:jc w:val="center"/>
            </w:pPr>
            <w:r>
              <w:rPr>
                <w:rFonts w:ascii="Roboto" w:cs="Roboto" w:eastAsia="Roboto" w:hAnsi="Roboto"/>
                <w:b/>
                <w:bCs/>
                <w:color w:val="FFFFFF"/>
                <w:sz w:val="17"/>
                <w:szCs w:val="17"/>
              </w:rPr>
              <w:t xml:space="preserve">P3</w:t>
            </w:r>
          </w:p>
        </w:tc>
        <w:tc>
          <w:tcPr>
            <w:tcW w:type="dxa" w:w="1500"/>
            <w:tcBorders>
              <w:top w:val="single" w:color="CBD5E1" w:sz="1"/>
              <w:left w:val="single" w:color="CBD5E1" w:sz="1"/>
              <w:bottom w:val="single" w:color="CBD5E1" w:sz="1"/>
              <w:right w:val="single" w:color="CBD5E1" w:sz="1"/>
            </w:tcBorders>
            <w:shd w:fill="E6F4F4" w:val="clear"/>
            <w:tcMar>
              <w:top w:type="dxa" w:w="80"/>
              <w:left w:type="dxa" w:w="120"/>
              <w:bottom w:type="dxa" w:w="80"/>
              <w:right w:type="dxa" w:w="120"/>
            </w:tcMar>
          </w:tcPr>
          <w:p>
            <w:r>
              <w:rPr>
                <w:rFonts w:ascii="Roboto" w:cs="Roboto" w:eastAsia="Roboto" w:hAnsi="Roboto"/>
                <w:b/>
                <w:bCs/>
                <w:color w:val="0A7373"/>
                <w:sz w:val="18"/>
                <w:szCs w:val="18"/>
              </w:rPr>
              <w:t xml:space="preserve">ION Core — TLC</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Roboto" w:cs="Roboto" w:eastAsia="Roboto" w:hAnsi="Roboto"/>
                <w:color w:val="0F172A"/>
                <w:sz w:val="19"/>
                <w:szCs w:val="19"/>
              </w:rPr>
              <w:t xml:space="preserve">On confirm, TLC Contract Record created and stored at ION Core. Captures all six TLC elements plus Static Terms version reference. Non-repudiable for both parties.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Roboto" w:cs="Roboto" w:eastAsia="Roboto" w:hAnsi="Roboto"/>
                <w:i/>
                <w:iCs/>
                <w:color w:val="64748B"/>
                <w:sz w:val="18"/>
                <w:szCs w:val="18"/>
              </w:rPr>
              <w:t xml:space="preserve">TLC Contract Record Store, Registry, Translation Service</w:t>
            </w:r>
          </w:p>
        </w:tc>
        <w:tc>
          <w:tcPr>
            <w:tcW w:type="dxa" w:w="820"/>
            <w:tcBorders>
              <w:top w:val="single" w:color="CBD5E1" w:sz="1"/>
              <w:left w:val="single" w:color="CBD5E1" w:sz="1"/>
              <w:bottom w:val="single" w:color="CBD5E1" w:sz="1"/>
              <w:right w:val="single" w:color="CBD5E1" w:sz="1"/>
            </w:tcBorders>
            <w:shd w:fill="FEF6E4" w:val="clear"/>
            <w:tcMar>
              <w:top w:type="dxa" w:w="80"/>
              <w:left w:type="dxa" w:w="80"/>
              <w:bottom w:type="dxa" w:w="80"/>
              <w:right w:type="dxa" w:w="80"/>
            </w:tcMar>
          </w:tcPr>
          <w:p>
            <w:pPr>
              <w:jc w:val="center"/>
            </w:pPr>
            <w:r>
              <w:rPr>
                <w:rFonts w:ascii="Roboto" w:cs="Roboto" w:eastAsia="Roboto" w:hAnsi="Roboto"/>
                <w:b/>
                <w:bCs/>
                <w:color w:val="C47A00"/>
                <w:sz w:val="17"/>
                <w:szCs w:val="17"/>
              </w:rPr>
              <w:t xml:space="preserve">BI = Legal</w:t>
            </w:r>
          </w:p>
        </w:tc>
      </w:tr>
      <w:tr>
        <w:tc>
          <w:tcPr>
            <w:tcW w:type="dxa" w:w="42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9"/>
                <w:szCs w:val="19"/>
              </w:rPr>
              <w:t xml:space="preserve">11</w:t>
            </w:r>
          </w:p>
        </w:tc>
        <w:tc>
          <w:tcPr>
            <w:tcW w:type="dxa" w:w="360"/>
            <w:tcBorders>
              <w:top w:val="single" w:color="0D9E9E" w:sz="1"/>
              <w:left w:val="single" w:color="0D9E9E" w:sz="1"/>
              <w:bottom w:val="single" w:color="0D9E9E" w:sz="1"/>
              <w:right w:val="single" w:color="0D9E9E" w:sz="1"/>
            </w:tcBorders>
            <w:shd w:fill="0D9E9E" w:val="clear"/>
            <w:tcMar>
              <w:top w:type="dxa" w:w="80"/>
              <w:left w:type="dxa" w:w="60"/>
              <w:bottom w:type="dxa" w:w="80"/>
              <w:right w:type="dxa" w:w="60"/>
            </w:tcMar>
            <w:vAlign w:val="center"/>
          </w:tcPr>
          <w:p>
            <w:pPr>
              <w:jc w:val="center"/>
            </w:pPr>
            <w:r>
              <w:rPr>
                <w:rFonts w:ascii="Roboto" w:cs="Roboto" w:eastAsia="Roboto" w:hAnsi="Roboto"/>
                <w:b/>
                <w:bCs/>
                <w:color w:val="FFFFFF"/>
                <w:sz w:val="17"/>
                <w:szCs w:val="17"/>
              </w:rPr>
              <w:t xml:space="preserve">P3</w:t>
            </w:r>
          </w:p>
        </w:tc>
        <w:tc>
          <w:tcPr>
            <w:tcW w:type="dxa" w:w="1500"/>
            <w:tcBorders>
              <w:top w:val="single" w:color="CBD5E1" w:sz="1"/>
              <w:left w:val="single" w:color="CBD5E1" w:sz="1"/>
              <w:bottom w:val="single" w:color="CBD5E1" w:sz="1"/>
              <w:right w:val="single" w:color="CBD5E1" w:sz="1"/>
            </w:tcBorders>
            <w:shd w:fill="E6F4F4" w:val="clear"/>
            <w:tcMar>
              <w:top w:type="dxa" w:w="80"/>
              <w:left w:type="dxa" w:w="120"/>
              <w:bottom w:type="dxa" w:w="80"/>
              <w:right w:type="dxa" w:w="120"/>
            </w:tcMar>
          </w:tcPr>
          <w:p>
            <w:r>
              <w:rPr>
                <w:rFonts w:ascii="Roboto" w:cs="Roboto" w:eastAsia="Roboto" w:hAnsi="Roboto"/>
                <w:b/>
                <w:bCs/>
                <w:color w:val="0A7373"/>
                <w:sz w:val="18"/>
                <w:szCs w:val="18"/>
              </w:rPr>
              <w:t xml:space="preserve">ION Core — ONIX</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Roboto" w:cs="Roboto" w:eastAsia="Roboto" w:hAnsi="Roboto"/>
                <w:color w:val="0F172A"/>
                <w:sz w:val="19"/>
                <w:szCs w:val="19"/>
              </w:rPr>
              <w:t xml:space="preserve">ONIX validates confirm payload. Order State Machine created at NP Node. Confirmation signals emitted to Observability Platform.</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Roboto" w:cs="Roboto" w:eastAsia="Roboto" w:hAnsi="Roboto"/>
                <w:i/>
                <w:iCs/>
                <w:color w:val="64748B"/>
                <w:sz w:val="18"/>
                <w:szCs w:val="18"/>
              </w:rPr>
              <w:t xml:space="preserve">ONIX Ruleset, Order State Machine, Observability Platform</w:t>
            </w:r>
          </w:p>
        </w:tc>
        <w:tc>
          <w:tcPr>
            <w:tcW w:type="dxa" w:w="82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Roboto" w:cs="Roboto" w:eastAsia="Roboto" w:hAnsi="Roboto"/>
                <w:b w:val="false"/>
                <w:bCs w:val="false"/>
                <w:color w:val="C47A00"/>
                <w:sz w:val="17"/>
                <w:szCs w:val="17"/>
              </w:rPr>
              <w:t xml:space="preserve"/>
            </w:r>
          </w:p>
        </w:tc>
      </w:tr>
      <w:tr>
        <w:tc>
          <w:tcPr>
            <w:tcW w:type="dxa" w:w="42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9"/>
                <w:szCs w:val="19"/>
              </w:rPr>
              <w:t xml:space="preserve">12</w:t>
            </w:r>
          </w:p>
        </w:tc>
        <w:tc>
          <w:tcPr>
            <w:tcW w:type="dxa" w:w="360"/>
            <w:tcBorders>
              <w:top w:val="single" w:color="0A7373" w:sz="1"/>
              <w:left w:val="single" w:color="0A7373" w:sz="1"/>
              <w:bottom w:val="single" w:color="0A7373" w:sz="1"/>
              <w:right w:val="single" w:color="0A7373" w:sz="1"/>
            </w:tcBorders>
            <w:shd w:fill="0A7373" w:val="clear"/>
            <w:tcMar>
              <w:top w:type="dxa" w:w="80"/>
              <w:left w:type="dxa" w:w="60"/>
              <w:bottom w:type="dxa" w:w="80"/>
              <w:right w:type="dxa" w:w="60"/>
            </w:tcMar>
            <w:vAlign w:val="center"/>
          </w:tcPr>
          <w:p>
            <w:pPr>
              <w:jc w:val="center"/>
            </w:pPr>
            <w:r>
              <w:rPr>
                <w:rFonts w:ascii="Roboto" w:cs="Roboto" w:eastAsia="Roboto" w:hAnsi="Roboto"/>
                <w:b/>
                <w:bCs/>
                <w:color w:val="FFFFFF"/>
                <w:sz w:val="17"/>
                <w:szCs w:val="17"/>
              </w:rPr>
              <w:t xml:space="preserve">P4</w:t>
            </w:r>
          </w:p>
        </w:tc>
        <w:tc>
          <w:tcPr>
            <w:tcW w:type="dxa" w:w="1500"/>
            <w:tcBorders>
              <w:top w:val="single" w:color="CBD5E1" w:sz="1"/>
              <w:left w:val="single" w:color="CBD5E1" w:sz="1"/>
              <w:bottom w:val="single" w:color="CBD5E1" w:sz="1"/>
              <w:right w:val="single" w:color="CBD5E1" w:sz="1"/>
            </w:tcBorders>
            <w:shd w:fill="E6F4F4" w:val="clear"/>
            <w:tcMar>
              <w:top w:type="dxa" w:w="80"/>
              <w:left w:type="dxa" w:w="120"/>
              <w:bottom w:type="dxa" w:w="80"/>
              <w:right w:type="dxa" w:w="120"/>
            </w:tcMar>
          </w:tcPr>
          <w:p>
            <w:r>
              <w:rPr>
                <w:rFonts w:ascii="Roboto" w:cs="Roboto" w:eastAsia="Roboto" w:hAnsi="Roboto"/>
                <w:b/>
                <w:bCs/>
                <w:color w:val="0A7373"/>
                <w:sz w:val="18"/>
                <w:szCs w:val="18"/>
              </w:rPr>
              <w:t xml:space="preserve">SNP / Fulfillment</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Roboto" w:cs="Roboto" w:eastAsia="Roboto" w:hAnsi="Roboto"/>
                <w:color w:val="0F172A"/>
                <w:sz w:val="19"/>
                <w:szCs w:val="19"/>
              </w:rPr>
              <w:t xml:space="preserve">Fulfillment State Machine created. Fulfillment updates flow from SNP to BNP per TLC terms. Buyer and delivery agent communicate via Order-Scoped Communication.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Roboto" w:cs="Roboto" w:eastAsia="Roboto" w:hAnsi="Roboto"/>
                <w:i/>
                <w:iCs/>
                <w:color w:val="64748B"/>
                <w:sz w:val="18"/>
                <w:szCs w:val="18"/>
              </w:rPr>
              <w:t xml:space="preserve">Fulfillment State Machine, Order-Scoped Communication, Notification &amp; Event Bus</w:t>
            </w:r>
          </w:p>
        </w:tc>
        <w:tc>
          <w:tcPr>
            <w:tcW w:type="dxa" w:w="82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Roboto" w:cs="Roboto" w:eastAsia="Roboto" w:hAnsi="Roboto"/>
                <w:b w:val="false"/>
                <w:bCs w:val="false"/>
                <w:color w:val="C47A00"/>
                <w:sz w:val="17"/>
                <w:szCs w:val="17"/>
              </w:rPr>
              <w:t xml:space="preserve"/>
            </w:r>
          </w:p>
        </w:tc>
      </w:tr>
      <w:tr>
        <w:tc>
          <w:tcPr>
            <w:tcW w:type="dxa" w:w="42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9"/>
                <w:szCs w:val="19"/>
              </w:rPr>
              <w:t xml:space="preserve">13</w:t>
            </w:r>
          </w:p>
        </w:tc>
        <w:tc>
          <w:tcPr>
            <w:tcW w:type="dxa" w:w="360"/>
            <w:tcBorders>
              <w:top w:val="single" w:color="0A7373" w:sz="1"/>
              <w:left w:val="single" w:color="0A7373" w:sz="1"/>
              <w:bottom w:val="single" w:color="0A7373" w:sz="1"/>
              <w:right w:val="single" w:color="0A7373" w:sz="1"/>
            </w:tcBorders>
            <w:shd w:fill="0A7373" w:val="clear"/>
            <w:tcMar>
              <w:top w:type="dxa" w:w="80"/>
              <w:left w:type="dxa" w:w="60"/>
              <w:bottom w:type="dxa" w:w="80"/>
              <w:right w:type="dxa" w:w="60"/>
            </w:tcMar>
            <w:vAlign w:val="center"/>
          </w:tcPr>
          <w:p>
            <w:pPr>
              <w:jc w:val="center"/>
            </w:pPr>
            <w:r>
              <w:rPr>
                <w:rFonts w:ascii="Roboto" w:cs="Roboto" w:eastAsia="Roboto" w:hAnsi="Roboto"/>
                <w:b/>
                <w:bCs/>
                <w:color w:val="FFFFFF"/>
                <w:sz w:val="17"/>
                <w:szCs w:val="17"/>
              </w:rPr>
              <w:t xml:space="preserve">P4</w:t>
            </w:r>
          </w:p>
        </w:tc>
        <w:tc>
          <w:tcPr>
            <w:tcW w:type="dxa" w:w="1500"/>
            <w:tcBorders>
              <w:top w:val="single" w:color="CBD5E1" w:sz="1"/>
              <w:left w:val="single" w:color="CBD5E1" w:sz="1"/>
              <w:bottom w:val="single" w:color="CBD5E1" w:sz="1"/>
              <w:right w:val="single" w:color="CBD5E1" w:sz="1"/>
            </w:tcBorders>
            <w:shd w:fill="E6F4F4" w:val="clear"/>
            <w:tcMar>
              <w:top w:type="dxa" w:w="80"/>
              <w:left w:type="dxa" w:w="120"/>
              <w:bottom w:type="dxa" w:w="80"/>
              <w:right w:type="dxa" w:w="120"/>
            </w:tcMar>
          </w:tcPr>
          <w:p>
            <w:r>
              <w:rPr>
                <w:rFonts w:ascii="Roboto" w:cs="Roboto" w:eastAsia="Roboto" w:hAnsi="Roboto"/>
                <w:b/>
                <w:bCs/>
                <w:color w:val="0A7373"/>
                <w:sz w:val="18"/>
                <w:szCs w:val="18"/>
              </w:rPr>
              <w:t xml:space="preserve">Either Party</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Roboto" w:cs="Roboto" w:eastAsia="Roboto" w:hAnsi="Roboto"/>
                <w:color w:val="0F172A"/>
                <w:sz w:val="19"/>
                <w:szCs w:val="19"/>
              </w:rPr>
              <w:t xml:space="preserve">Modification or cancellation initiated. Modification State Machine created. TLC Administration validates whether modification is permitted under agreed terms. Penalty calculated if applicable.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Roboto" w:cs="Roboto" w:eastAsia="Roboto" w:hAnsi="Roboto"/>
                <w:i/>
                <w:iCs/>
                <w:color w:val="64748B"/>
                <w:sz w:val="18"/>
                <w:szCs w:val="18"/>
              </w:rPr>
              <w:t xml:space="preserve">Modification State Machine, TLC Administration, Order-Scoped Communication</w:t>
            </w:r>
          </w:p>
        </w:tc>
        <w:tc>
          <w:tcPr>
            <w:tcW w:type="dxa" w:w="820"/>
            <w:tcBorders>
              <w:top w:val="single" w:color="CBD5E1" w:sz="1"/>
              <w:left w:val="single" w:color="CBD5E1" w:sz="1"/>
              <w:bottom w:val="single" w:color="CBD5E1" w:sz="1"/>
              <w:right w:val="single" w:color="CBD5E1" w:sz="1"/>
            </w:tcBorders>
            <w:shd w:fill="FEF6E4" w:val="clear"/>
            <w:tcMar>
              <w:top w:type="dxa" w:w="80"/>
              <w:left w:type="dxa" w:w="80"/>
              <w:bottom w:type="dxa" w:w="80"/>
              <w:right w:type="dxa" w:w="80"/>
            </w:tcMar>
          </w:tcPr>
          <w:p>
            <w:pPr>
              <w:jc w:val="center"/>
            </w:pPr>
            <w:r>
              <w:rPr>
                <w:rFonts w:ascii="Roboto" w:cs="Roboto" w:eastAsia="Roboto" w:hAnsi="Roboto"/>
                <w:b/>
                <w:bCs/>
                <w:color w:val="C47A00"/>
                <w:sz w:val="17"/>
                <w:szCs w:val="17"/>
              </w:rPr>
              <w:t xml:space="preserve">BI = Legal</w:t>
            </w:r>
          </w:p>
        </w:tc>
      </w:tr>
      <w:tr>
        <w:tc>
          <w:tcPr>
            <w:tcW w:type="dxa" w:w="42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9"/>
                <w:szCs w:val="19"/>
              </w:rPr>
              <w:t xml:space="preserve">14</w:t>
            </w:r>
          </w:p>
        </w:tc>
        <w:tc>
          <w:tcPr>
            <w:tcW w:type="dxa" w:w="360"/>
            <w:tcBorders>
              <w:top w:val="single" w:color="5B2D8E" w:sz="1"/>
              <w:left w:val="single" w:color="5B2D8E" w:sz="1"/>
              <w:bottom w:val="single" w:color="5B2D8E" w:sz="1"/>
              <w:right w:val="single" w:color="5B2D8E" w:sz="1"/>
            </w:tcBorders>
            <w:shd w:fill="5B2D8E" w:val="clear"/>
            <w:tcMar>
              <w:top w:type="dxa" w:w="80"/>
              <w:left w:type="dxa" w:w="60"/>
              <w:bottom w:type="dxa" w:w="80"/>
              <w:right w:type="dxa" w:w="60"/>
            </w:tcMar>
            <w:vAlign w:val="center"/>
          </w:tcPr>
          <w:p>
            <w:pPr>
              <w:jc w:val="center"/>
            </w:pPr>
            <w:r>
              <w:rPr>
                <w:rFonts w:ascii="Roboto" w:cs="Roboto" w:eastAsia="Roboto" w:hAnsi="Roboto"/>
                <w:b/>
                <w:bCs/>
                <w:color w:val="FFFFFF"/>
                <w:sz w:val="17"/>
                <w:szCs w:val="17"/>
              </w:rPr>
              <w:t xml:space="preserve">P5</w:t>
            </w:r>
          </w:p>
        </w:tc>
        <w:tc>
          <w:tcPr>
            <w:tcW w:type="dxa" w:w="1500"/>
            <w:tcBorders>
              <w:top w:val="single" w:color="CBD5E1" w:sz="1"/>
              <w:left w:val="single" w:color="CBD5E1" w:sz="1"/>
              <w:bottom w:val="single" w:color="CBD5E1" w:sz="1"/>
              <w:right w:val="single" w:color="CBD5E1" w:sz="1"/>
            </w:tcBorders>
            <w:shd w:fill="E6F4F4" w:val="clear"/>
            <w:tcMar>
              <w:top w:type="dxa" w:w="80"/>
              <w:left w:type="dxa" w:w="120"/>
              <w:bottom w:type="dxa" w:w="80"/>
              <w:right w:type="dxa" w:w="120"/>
            </w:tcMar>
          </w:tcPr>
          <w:p>
            <w:r>
              <w:rPr>
                <w:rFonts w:ascii="Roboto" w:cs="Roboto" w:eastAsia="Roboto" w:hAnsi="Roboto"/>
                <w:b/>
                <w:bCs/>
                <w:color w:val="0A7373"/>
                <w:sz w:val="18"/>
                <w:szCs w:val="18"/>
              </w:rPr>
              <w:t xml:space="preserve">Buyer / SNP</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Roboto" w:cs="Roboto" w:eastAsia="Roboto" w:hAnsi="Roboto"/>
                <w:color w:val="0F172A"/>
                <w:sz w:val="19"/>
                <w:szCs w:val="19"/>
              </w:rPr>
              <w:t xml:space="preserve">Grievance raised (quality, delivery, partial fulfillment). L1 IGM handled at NP Node. If unresolved, escalated to ION Core L2/L3. Grievance State Machine tracks state.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Roboto" w:cs="Roboto" w:eastAsia="Roboto" w:hAnsi="Roboto"/>
                <w:i/>
                <w:iCs/>
                <w:color w:val="64748B"/>
                <w:sz w:val="18"/>
                <w:szCs w:val="18"/>
              </w:rPr>
              <w:t xml:space="preserve">Grievance SM, IGM L1 (NP), IGM L2/L3 (ION Core), Order-Scoped Communication</w:t>
            </w:r>
          </w:p>
        </w:tc>
        <w:tc>
          <w:tcPr>
            <w:tcW w:type="dxa" w:w="820"/>
            <w:tcBorders>
              <w:top w:val="single" w:color="CBD5E1" w:sz="1"/>
              <w:left w:val="single" w:color="CBD5E1" w:sz="1"/>
              <w:bottom w:val="single" w:color="CBD5E1" w:sz="1"/>
              <w:right w:val="single" w:color="CBD5E1" w:sz="1"/>
            </w:tcBorders>
            <w:shd w:fill="FEF6E4" w:val="clear"/>
            <w:tcMar>
              <w:top w:type="dxa" w:w="80"/>
              <w:left w:type="dxa" w:w="80"/>
              <w:bottom w:type="dxa" w:w="80"/>
              <w:right w:type="dxa" w:w="80"/>
            </w:tcMar>
          </w:tcPr>
          <w:p>
            <w:pPr>
              <w:jc w:val="center"/>
            </w:pPr>
            <w:r>
              <w:rPr>
                <w:rFonts w:ascii="Roboto" w:cs="Roboto" w:eastAsia="Roboto" w:hAnsi="Roboto"/>
                <w:b/>
                <w:bCs/>
                <w:color w:val="C47A00"/>
                <w:sz w:val="17"/>
                <w:szCs w:val="17"/>
              </w:rPr>
              <w:t xml:space="preserve">BI = Legal</w:t>
            </w:r>
          </w:p>
        </w:tc>
      </w:tr>
      <w:tr>
        <w:tc>
          <w:tcPr>
            <w:tcW w:type="dxa" w:w="42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9"/>
                <w:szCs w:val="19"/>
              </w:rPr>
              <w:t xml:space="preserve">15</w:t>
            </w:r>
          </w:p>
        </w:tc>
        <w:tc>
          <w:tcPr>
            <w:tcW w:type="dxa" w:w="360"/>
            <w:tcBorders>
              <w:top w:val="single" w:color="5B2D8E" w:sz="1"/>
              <w:left w:val="single" w:color="5B2D8E" w:sz="1"/>
              <w:bottom w:val="single" w:color="5B2D8E" w:sz="1"/>
              <w:right w:val="single" w:color="5B2D8E" w:sz="1"/>
            </w:tcBorders>
            <w:shd w:fill="5B2D8E" w:val="clear"/>
            <w:tcMar>
              <w:top w:type="dxa" w:w="80"/>
              <w:left w:type="dxa" w:w="60"/>
              <w:bottom w:type="dxa" w:w="80"/>
              <w:right w:type="dxa" w:w="60"/>
            </w:tcMar>
            <w:vAlign w:val="center"/>
          </w:tcPr>
          <w:p>
            <w:pPr>
              <w:jc w:val="center"/>
            </w:pPr>
            <w:r>
              <w:rPr>
                <w:rFonts w:ascii="Roboto" w:cs="Roboto" w:eastAsia="Roboto" w:hAnsi="Roboto"/>
                <w:b/>
                <w:bCs/>
                <w:color w:val="FFFFFF"/>
                <w:sz w:val="17"/>
                <w:szCs w:val="17"/>
              </w:rPr>
              <w:t xml:space="preserve">P5</w:t>
            </w:r>
          </w:p>
        </w:tc>
        <w:tc>
          <w:tcPr>
            <w:tcW w:type="dxa" w:w="1500"/>
            <w:tcBorders>
              <w:top w:val="single" w:color="CBD5E1" w:sz="1"/>
              <w:left w:val="single" w:color="CBD5E1" w:sz="1"/>
              <w:bottom w:val="single" w:color="CBD5E1" w:sz="1"/>
              <w:right w:val="single" w:color="CBD5E1" w:sz="1"/>
            </w:tcBorders>
            <w:shd w:fill="E6F4F4" w:val="clear"/>
            <w:tcMar>
              <w:top w:type="dxa" w:w="80"/>
              <w:left w:type="dxa" w:w="120"/>
              <w:bottom w:type="dxa" w:w="80"/>
              <w:right w:type="dxa" w:w="120"/>
            </w:tcMar>
          </w:tcPr>
          <w:p>
            <w:r>
              <w:rPr>
                <w:rFonts w:ascii="Roboto" w:cs="Roboto" w:eastAsia="Roboto" w:hAnsi="Roboto"/>
                <w:b/>
                <w:bCs/>
                <w:color w:val="0A7373"/>
                <w:sz w:val="18"/>
                <w:szCs w:val="18"/>
              </w:rPr>
              <w:t xml:space="preserve">ION Core — Settlement</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Roboto" w:cs="Roboto" w:eastAsia="Roboto" w:hAnsi="Roboto"/>
                <w:color w:val="0F172A"/>
                <w:sz w:val="19"/>
                <w:szCs w:val="19"/>
              </w:rPr>
              <w:t xml:space="preserve">Settlement State Machine triggered once Order SM and Grievance SM are in clear state. Payout calculated — adjusted for modifications, penalties, grievance outcomes. Executed via BI-FAST.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Roboto" w:cs="Roboto" w:eastAsia="Roboto" w:hAnsi="Roboto"/>
                <w:i/>
                <w:iCs/>
                <w:color w:val="64748B"/>
                <w:sz w:val="18"/>
                <w:szCs w:val="18"/>
              </w:rPr>
              <w:t xml:space="preserve">Settlement SM, TLC Administration, Payout Instructions &amp; Execution</w:t>
            </w:r>
          </w:p>
        </w:tc>
        <w:tc>
          <w:tcPr>
            <w:tcW w:type="dxa" w:w="82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Roboto" w:cs="Roboto" w:eastAsia="Roboto" w:hAnsi="Roboto"/>
                <w:b w:val="false"/>
                <w:bCs w:val="false"/>
                <w:color w:val="C47A00"/>
                <w:sz w:val="17"/>
                <w:szCs w:val="17"/>
              </w:rPr>
              <w:t xml:space="preserve"/>
            </w:r>
          </w:p>
        </w:tc>
      </w:tr>
      <w:tr>
        <w:tc>
          <w:tcPr>
            <w:tcW w:type="dxa" w:w="42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9"/>
                <w:szCs w:val="19"/>
              </w:rPr>
              <w:t xml:space="preserve">16</w:t>
            </w:r>
          </w:p>
        </w:tc>
        <w:tc>
          <w:tcPr>
            <w:tcW w:type="dxa" w:w="360"/>
            <w:tcBorders>
              <w:top w:val="single" w:color="C05621" w:sz="1"/>
              <w:left w:val="single" w:color="C05621" w:sz="1"/>
              <w:bottom w:val="single" w:color="C05621" w:sz="1"/>
              <w:right w:val="single" w:color="C05621" w:sz="1"/>
            </w:tcBorders>
            <w:shd w:fill="C05621" w:val="clear"/>
            <w:tcMar>
              <w:top w:type="dxa" w:w="80"/>
              <w:left w:type="dxa" w:w="60"/>
              <w:bottom w:type="dxa" w:w="80"/>
              <w:right w:type="dxa" w:w="60"/>
            </w:tcMar>
            <w:vAlign w:val="center"/>
          </w:tcPr>
          <w:p>
            <w:pPr>
              <w:jc w:val="center"/>
            </w:pPr>
            <w:r>
              <w:rPr>
                <w:rFonts w:ascii="Roboto" w:cs="Roboto" w:eastAsia="Roboto" w:hAnsi="Roboto"/>
                <w:b/>
                <w:bCs/>
                <w:color w:val="FFFFFF"/>
                <w:sz w:val="17"/>
                <w:szCs w:val="17"/>
              </w:rPr>
              <w:t xml:space="preserve">P6</w:t>
            </w:r>
          </w:p>
        </w:tc>
        <w:tc>
          <w:tcPr>
            <w:tcW w:type="dxa" w:w="1500"/>
            <w:tcBorders>
              <w:top w:val="single" w:color="CBD5E1" w:sz="1"/>
              <w:left w:val="single" w:color="CBD5E1" w:sz="1"/>
              <w:bottom w:val="single" w:color="CBD5E1" w:sz="1"/>
              <w:right w:val="single" w:color="CBD5E1" w:sz="1"/>
            </w:tcBorders>
            <w:shd w:fill="E6F4F4" w:val="clear"/>
            <w:tcMar>
              <w:top w:type="dxa" w:w="80"/>
              <w:left w:type="dxa" w:w="120"/>
              <w:bottom w:type="dxa" w:w="80"/>
              <w:right w:type="dxa" w:w="120"/>
            </w:tcMar>
          </w:tcPr>
          <w:p>
            <w:r>
              <w:rPr>
                <w:rFonts w:ascii="Roboto" w:cs="Roboto" w:eastAsia="Roboto" w:hAnsi="Roboto"/>
                <w:b/>
                <w:bCs/>
                <w:color w:val="0A7373"/>
                <w:sz w:val="18"/>
                <w:szCs w:val="18"/>
              </w:rPr>
              <w:t xml:space="preserve">ION Core</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Roboto" w:cs="Roboto" w:eastAsia="Roboto" w:hAnsi="Roboto"/>
                <w:color w:val="0F172A"/>
                <w:sz w:val="19"/>
                <w:szCs w:val="19"/>
              </w:rPr>
              <w:t xml:space="preserve">Order reaches terminal state. No further updates permitted. Full signal record archived. Rating and review window opens for both parties.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Roboto" w:cs="Roboto" w:eastAsia="Roboto" w:hAnsi="Roboto"/>
                <w:i/>
                <w:iCs/>
                <w:color w:val="64748B"/>
                <w:sz w:val="18"/>
                <w:szCs w:val="18"/>
              </w:rPr>
              <w:t xml:space="preserve">Order SM (terminal), Observability Platform, Rating &amp; Credential Store</w:t>
            </w:r>
          </w:p>
        </w:tc>
        <w:tc>
          <w:tcPr>
            <w:tcW w:type="dxa" w:w="82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Roboto" w:cs="Roboto" w:eastAsia="Roboto" w:hAnsi="Roboto"/>
                <w:b w:val="false"/>
                <w:bCs w:val="false"/>
                <w:color w:val="C47A00"/>
                <w:sz w:val="17"/>
                <w:szCs w:val="17"/>
              </w:rPr>
              <w:t xml:space="preserve"/>
            </w:r>
          </w:p>
        </w:tc>
      </w:tr>
      <w:tr>
        <w:tc>
          <w:tcPr>
            <w:tcW w:type="dxa" w:w="42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9"/>
                <w:szCs w:val="19"/>
              </w:rPr>
              <w:t xml:space="preserve">17</w:t>
            </w:r>
          </w:p>
        </w:tc>
        <w:tc>
          <w:tcPr>
            <w:tcW w:type="dxa" w:w="360"/>
            <w:tcBorders>
              <w:top w:val="single" w:color="C05621" w:sz="1"/>
              <w:left w:val="single" w:color="C05621" w:sz="1"/>
              <w:bottom w:val="single" w:color="C05621" w:sz="1"/>
              <w:right w:val="single" w:color="C05621" w:sz="1"/>
            </w:tcBorders>
            <w:shd w:fill="C05621" w:val="clear"/>
            <w:tcMar>
              <w:top w:type="dxa" w:w="80"/>
              <w:left w:type="dxa" w:w="60"/>
              <w:bottom w:type="dxa" w:w="80"/>
              <w:right w:type="dxa" w:w="60"/>
            </w:tcMar>
            <w:vAlign w:val="center"/>
          </w:tcPr>
          <w:p>
            <w:pPr>
              <w:jc w:val="center"/>
            </w:pPr>
            <w:r>
              <w:rPr>
                <w:rFonts w:ascii="Roboto" w:cs="Roboto" w:eastAsia="Roboto" w:hAnsi="Roboto"/>
                <w:b/>
                <w:bCs/>
                <w:color w:val="FFFFFF"/>
                <w:sz w:val="17"/>
                <w:szCs w:val="17"/>
              </w:rPr>
              <w:t xml:space="preserve">P6</w:t>
            </w:r>
          </w:p>
        </w:tc>
        <w:tc>
          <w:tcPr>
            <w:tcW w:type="dxa" w:w="1500"/>
            <w:tcBorders>
              <w:top w:val="single" w:color="CBD5E1" w:sz="1"/>
              <w:left w:val="single" w:color="CBD5E1" w:sz="1"/>
              <w:bottom w:val="single" w:color="CBD5E1" w:sz="1"/>
              <w:right w:val="single" w:color="CBD5E1" w:sz="1"/>
            </w:tcBorders>
            <w:shd w:fill="E6F4F4" w:val="clear"/>
            <w:tcMar>
              <w:top w:type="dxa" w:w="80"/>
              <w:left w:type="dxa" w:w="120"/>
              <w:bottom w:type="dxa" w:w="80"/>
              <w:right w:type="dxa" w:w="120"/>
            </w:tcMar>
          </w:tcPr>
          <w:p>
            <w:r>
              <w:rPr>
                <w:rFonts w:ascii="Roboto" w:cs="Roboto" w:eastAsia="Roboto" w:hAnsi="Roboto"/>
                <w:b/>
                <w:bCs/>
                <w:color w:val="0A7373"/>
                <w:sz w:val="18"/>
                <w:szCs w:val="18"/>
              </w:rPr>
              <w:t xml:space="preserve">ION Ops</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Roboto" w:cs="Roboto" w:eastAsia="Roboto" w:hAnsi="Roboto"/>
                <w:color w:val="0F172A"/>
                <w:sz w:val="19"/>
                <w:szCs w:val="19"/>
              </w:rPr>
              <w:t xml:space="preserve">Network Operations reviews aggregate signals. Flags underperforming participants, fraud patterns, network health anomalies. Proactive interventions initiated where required.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Roboto" w:cs="Roboto" w:eastAsia="Roboto" w:hAnsi="Roboto"/>
                <w:i/>
                <w:iCs/>
                <w:color w:val="64748B"/>
                <w:sz w:val="18"/>
                <w:szCs w:val="18"/>
              </w:rPr>
              <w:t xml:space="preserve">Observability Platform, Network Policy Engine, ION Central Ops Dashboard</w:t>
            </w:r>
          </w:p>
        </w:tc>
        <w:tc>
          <w:tcPr>
            <w:tcW w:type="dxa" w:w="82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pPr>
              <w:jc w:val="center"/>
            </w:pPr>
            <w:r>
              <w:rPr>
                <w:rFonts w:ascii="Roboto" w:cs="Roboto" w:eastAsia="Roboto" w:hAnsi="Roboto"/>
                <w:b w:val="false"/>
                <w:bCs w:val="false"/>
                <w:color w:val="C47A00"/>
                <w:sz w:val="17"/>
                <w:szCs w:val="17"/>
              </w:rPr>
              <w:t xml:space="preserve"/>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2044" w:sz="1"/>
              <w:left w:val="single" w:color="0F2044" w:sz="1"/>
              <w:bottom w:val="single" w:color="0F2044" w:sz="1"/>
              <w:right w:val="single" w:color="0F2044" w:sz="1"/>
            </w:tcBorders>
            <w:shd w:fill="0F2044" w:val="clear"/>
            <w:tcMar>
              <w:top w:type="dxa" w:w="110"/>
              <w:left w:type="dxa" w:w="240"/>
              <w:bottom w:type="dxa" w:w="110"/>
              <w:right w:type="dxa" w:w="240"/>
            </w:tcMar>
          </w:tcPr>
          <w:p>
            <w:r>
              <w:rPr>
                <w:rFonts w:ascii="Roboto" w:cs="Roboto" w:eastAsia="Roboto" w:hAnsi="Roboto"/>
                <w:b/>
                <w:bCs/>
                <w:color w:val="FFFFFF"/>
                <w:sz w:val="24"/>
                <w:szCs w:val="24"/>
              </w:rPr>
              <w:t xml:space="preserve">4.  COMPONENT BLUEPRINT</w:t>
            </w:r>
          </w:p>
        </w:tc>
      </w:tr>
    </w:tbl>
    <w:p>
      <w:pPr>
        <w:spacing w:before="12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The following tables define every component in the ION architecture — its model (Central, Distributed, or Federated) and its role. Components are grouped by model type. The model designation is derived from the principles in Section 1 and the flow in Section 3.</w:t>
      </w:r>
    </w:p>
    <w:p>
      <w:pPr>
        <w:spacing w:before="8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34155" w:sz="1"/>
              <w:left w:val="single" w:color="334155" w:sz="14"/>
              <w:bottom w:val="single" w:color="334155" w:sz="1"/>
              <w:right w:val="single" w:color="334155" w:sz="1"/>
            </w:tcBorders>
            <w:shd w:fill="F1F5F9" w:val="clear"/>
            <w:tcMar>
              <w:top w:type="dxa" w:w="130"/>
              <w:left w:type="dxa" w:w="220"/>
              <w:bottom w:type="dxa" w:w="130"/>
              <w:right w:type="dxa" w:w="220"/>
            </w:tcMar>
          </w:tcPr>
          <w:p>
            <w:pPr>
              <w:spacing w:after="50"/>
            </w:pPr>
            <w:r>
              <w:rPr>
                <w:rFonts w:ascii="Roboto" w:cs="Roboto" w:eastAsia="Roboto" w:hAnsi="Roboto"/>
                <w:b/>
                <w:bCs/>
                <w:color w:val="334155"/>
                <w:sz w:val="19"/>
                <w:szCs w:val="19"/>
              </w:rPr>
              <w:t xml:space="preserve">Model Key</w:t>
            </w:r>
          </w:p>
          <w:p>
            <w:r>
              <w:rPr>
                <w:rFonts w:ascii="Roboto" w:cs="Roboto" w:eastAsia="Roboto" w:hAnsi="Roboto"/>
                <w:color w:val="0F172A"/>
                <w:sz w:val="19"/>
                <w:szCs w:val="19"/>
              </w:rPr>
              <w:t xml:space="preserve">CENTRAL — Lives in ION Core, operated by ION. Trust anchor, non-repudiable.   DISTRIBUTED — Lives at the NP Node, operated by the participant, governed by ION standards.   FEDERATED — Standard defined centrally by ION, execution distributed at NP Node.</w:t>
            </w:r>
          </w:p>
        </w:tc>
      </w:tr>
    </w:tbl>
    <w:p>
      <w:pPr>
        <w:spacing w:before="140" w:after="0"/>
      </w:pPr>
      <w:r>
        <w:rPr>
          <w:rFonts w:ascii="Roboto" w:cs="Roboto" w:eastAsia="Roboto" w:hAnsi="Roboto"/>
          <w:color w:val="0F172A"/>
          <w:sz w:val="19"/>
          <w:szCs w:val="19"/>
        </w:rPr>
        <w:t xml:space="preserve"/>
      </w:r>
    </w:p>
    <w:p>
      <w:pPr>
        <w:pStyle w:val="Heading2"/>
        <w:spacing w:before="300" w:after="100"/>
      </w:pPr>
      <w:r>
        <w:rPr>
          <w:rFonts w:ascii="Roboto" w:cs="Roboto" w:eastAsia="Roboto" w:hAnsi="Roboto"/>
          <w:b/>
          <w:bCs/>
          <w:color w:val="0A7373"/>
          <w:sz w:val="28"/>
          <w:szCs w:val="28"/>
        </w:rPr>
        <w:t xml:space="preserve">4.1  Central Components — ION Core</w:t>
      </w:r>
    </w:p>
    <w:p>
      <w:pPr>
        <w:spacing w:before="8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5680"/>
      </w:tblGrid>
      <w:tr>
        <w:tc>
          <w:tcPr>
            <w:tcW w:type="dxa" w:w="31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Component</w:t>
            </w:r>
          </w:p>
        </w:tc>
        <w:tc>
          <w:tcPr>
            <w:tcW w:type="dxa" w:w="13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Model</w:t>
            </w:r>
          </w:p>
        </w:tc>
        <w:tc>
          <w:tcPr>
            <w:tcW w:type="dxa" w:w="568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Notes</w:t>
            </w:r>
          </w:p>
        </w:tc>
      </w:tr>
      <w:tr>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b/>
                <w:bCs/>
                <w:color w:val="0F2044"/>
                <w:sz w:val="19"/>
                <w:szCs w:val="19"/>
              </w:rPr>
              <w:t xml:space="preserve">Registry</w:t>
            </w:r>
          </w:p>
        </w:tc>
        <w:tc>
          <w:tcPr>
            <w:tcW w:type="dxa" w:w="130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Central</w:t>
            </w:r>
          </w:p>
        </w:tc>
        <w:tc>
          <w:tcPr>
            <w:tcW w:type="dxa" w:w="5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Authoritative participant directory. Single source of truth for who is on the network. Non-repudiable. Both BNP and SNP must trust the same record.</w:t>
            </w:r>
          </w:p>
        </w:tc>
      </w:tr>
      <w:tr>
        <w:tc>
          <w:tcPr>
            <w:tcW w:type="dxa" w:w="3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b/>
                <w:bCs/>
                <w:color w:val="0F2044"/>
                <w:sz w:val="19"/>
                <w:szCs w:val="19"/>
              </w:rPr>
              <w:t xml:space="preserve">Gateway / Routing (CDS)</w:t>
            </w:r>
          </w:p>
        </w:tc>
        <w:tc>
          <w:tcPr>
            <w:tcW w:type="dxa" w:w="130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Central</w:t>
            </w:r>
          </w:p>
        </w:tc>
        <w:tc>
          <w:tcPr>
            <w:tcW w:type="dxa" w:w="5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color w:val="0F172A"/>
                <w:sz w:val="19"/>
                <w:szCs w:val="19"/>
              </w:rPr>
              <w:t xml:space="preserve">Thin routing layer. Solves the whitelisting problem — NPs only whitelist ION Core IPs. Routes messages between NP Nodes. Domain-agnostic.</w:t>
            </w:r>
          </w:p>
        </w:tc>
      </w:tr>
      <w:tr>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b/>
                <w:bCs/>
                <w:color w:val="0F2044"/>
                <w:sz w:val="19"/>
                <w:szCs w:val="19"/>
              </w:rPr>
              <w:t xml:space="preserve">ONIX — Compliance Ruleset</w:t>
            </w:r>
          </w:p>
        </w:tc>
        <w:tc>
          <w:tcPr>
            <w:tcW w:type="dxa" w:w="130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Central</w:t>
            </w:r>
          </w:p>
        </w:tc>
        <w:tc>
          <w:tcPr>
            <w:tcW w:type="dxa" w:w="5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Centrally owned and versioned validation rules. Enforcement happens at the NP Node but against this centrally published spec. Authored and versioned in ION Dev Lab.</w:t>
            </w:r>
          </w:p>
        </w:tc>
      </w:tr>
      <w:tr>
        <w:tc>
          <w:tcPr>
            <w:tcW w:type="dxa" w:w="3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b/>
                <w:bCs/>
                <w:color w:val="0F2044"/>
                <w:sz w:val="19"/>
                <w:szCs w:val="19"/>
              </w:rPr>
              <w:t xml:space="preserve">Network Policy Engine</w:t>
            </w:r>
          </w:p>
        </w:tc>
        <w:tc>
          <w:tcPr>
            <w:tcW w:type="dxa" w:w="130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Central</w:t>
            </w:r>
          </w:p>
        </w:tc>
        <w:tc>
          <w:tcPr>
            <w:tcW w:type="dxa" w:w="5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color w:val="0F172A"/>
                <w:sz w:val="19"/>
                <w:szCs w:val="19"/>
              </w:rPr>
              <w:t xml:space="preserve">Sector licensing rules, participant blacklists, suspension enforcement, and network-level compliance rules. Operates above the individual transaction level.</w:t>
            </w:r>
          </w:p>
        </w:tc>
      </w:tr>
      <w:tr>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b/>
                <w:bCs/>
                <w:color w:val="0F2044"/>
                <w:sz w:val="19"/>
                <w:szCs w:val="19"/>
              </w:rPr>
              <w:t xml:space="preserve">Identity &amp; Onboarding Verification</w:t>
            </w:r>
          </w:p>
        </w:tc>
        <w:tc>
          <w:tcPr>
            <w:tcW w:type="dxa" w:w="130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Central</w:t>
            </w:r>
          </w:p>
        </w:tc>
        <w:tc>
          <w:tcPr>
            <w:tcW w:type="dxa" w:w="5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e-KTP, NIB, and QRIS verification pipeline. Upstream of Registry. Verification done once centrally before a participant is admitted.</w:t>
            </w:r>
          </w:p>
        </w:tc>
      </w:tr>
      <w:tr>
        <w:tc>
          <w:tcPr>
            <w:tcW w:type="dxa" w:w="3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b/>
                <w:bCs/>
                <w:color w:val="0F2044"/>
                <w:sz w:val="19"/>
                <w:szCs w:val="19"/>
              </w:rPr>
              <w:t xml:space="preserve">Static Terms — Network (Tier 1)</w:t>
            </w:r>
          </w:p>
        </w:tc>
        <w:tc>
          <w:tcPr>
            <w:tcW w:type="dxa" w:w="130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Central</w:t>
            </w:r>
          </w:p>
        </w:tc>
        <w:tc>
          <w:tcPr>
            <w:tcW w:type="dxa" w:w="5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color w:val="0F172A"/>
                <w:sz w:val="19"/>
                <w:szCs w:val="19"/>
              </w:rPr>
              <w:t xml:space="preserve">ION-defined, non-negotiable terms applying to all participants in all transactions. Cannot be overridden by any Tier 2 or Tier 3 term. Authored and versioned in ION Dev Lab. Incorporated by reference into every TLC.</w:t>
            </w:r>
          </w:p>
        </w:tc>
      </w:tr>
      <w:tr>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b/>
                <w:bCs/>
                <w:color w:val="0F2044"/>
                <w:sz w:val="19"/>
                <w:szCs w:val="19"/>
              </w:rPr>
              <w:t xml:space="preserve">Static Terms — Sector (Tier 2)</w:t>
            </w:r>
          </w:p>
        </w:tc>
        <w:tc>
          <w:tcPr>
            <w:tcW w:type="dxa" w:w="130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Central</w:t>
            </w:r>
          </w:p>
        </w:tc>
        <w:tc>
          <w:tcPr>
            <w:tcW w:type="dxa" w:w="5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Sector-specific standard terms defined by ION in consultation with sector anchor TSPs. Applies to all transactions within a sector. Can be extended but not contradicted by TLC (Tier 3).</w:t>
            </w:r>
          </w:p>
        </w:tc>
      </w:tr>
      <w:tr>
        <w:tc>
          <w:tcPr>
            <w:tcW w:type="dxa" w:w="3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b/>
                <w:bCs/>
                <w:color w:val="0F2044"/>
                <w:sz w:val="19"/>
                <w:szCs w:val="19"/>
              </w:rPr>
              <w:t xml:space="preserve">TLC — Contract Record Store</w:t>
            </w:r>
          </w:p>
        </w:tc>
        <w:tc>
          <w:tcPr>
            <w:tcW w:type="dxa" w:w="130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Central</w:t>
            </w:r>
          </w:p>
        </w:tc>
        <w:tc>
          <w:tcPr>
            <w:tcW w:type="dxa" w:w="5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color w:val="0F172A"/>
                <w:sz w:val="19"/>
                <w:szCs w:val="19"/>
              </w:rPr>
              <w:t xml:space="preserve">Neutral custodian of the agreed terms between buyer and seller for every confirmed transaction. Neither transacting party holds the authoritative copy. Bahasa Indonesia is the legally binding version.</w:t>
            </w:r>
          </w:p>
        </w:tc>
      </w:tr>
      <w:tr>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b/>
                <w:bCs/>
                <w:color w:val="0F2044"/>
                <w:sz w:val="19"/>
                <w:szCs w:val="19"/>
              </w:rPr>
              <w:t xml:space="preserve">TLC Administration</w:t>
            </w:r>
          </w:p>
        </w:tc>
        <w:tc>
          <w:tcPr>
            <w:tcW w:type="dxa" w:w="130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Central</w:t>
            </w:r>
          </w:p>
        </w:tc>
        <w:tc>
          <w:tcPr>
            <w:tcW w:type="dxa" w:w="5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Rule engine operated by ION. Receives state signals from NP Nodes. Evaluates them against TLC terms. Issues authoritative rulings on order validity, permitted modifications, and penalties. Sole arbiter of contract compliance.</w:t>
            </w:r>
          </w:p>
        </w:tc>
      </w:tr>
      <w:tr>
        <w:tc>
          <w:tcPr>
            <w:tcW w:type="dxa" w:w="3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b/>
                <w:bCs/>
                <w:color w:val="0F2044"/>
                <w:sz w:val="19"/>
                <w:szCs w:val="19"/>
              </w:rPr>
              <w:t xml:space="preserve">Settlement State Machine</w:t>
            </w:r>
          </w:p>
        </w:tc>
        <w:tc>
          <w:tcPr>
            <w:tcW w:type="dxa" w:w="130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Central</w:t>
            </w:r>
          </w:p>
        </w:tc>
        <w:tc>
          <w:tcPr>
            <w:tcW w:type="dxa" w:w="5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color w:val="0F172A"/>
                <w:sz w:val="19"/>
                <w:szCs w:val="19"/>
              </w:rPr>
              <w:t xml:space="preserve">Payout release trigger. Neutral and authoritative. Release requires Fulfillment SM complete AND Grievance SM closed. Payout amount adjusted by TLC Administration before release.</w:t>
            </w:r>
          </w:p>
        </w:tc>
      </w:tr>
      <w:tr>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b/>
                <w:bCs/>
                <w:color w:val="0F2044"/>
                <w:sz w:val="19"/>
                <w:szCs w:val="19"/>
              </w:rPr>
              <w:t xml:space="preserve">Observability Platform</w:t>
            </w:r>
          </w:p>
        </w:tc>
        <w:tc>
          <w:tcPr>
            <w:tcW w:type="dxa" w:w="130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Central</w:t>
            </w:r>
          </w:p>
        </w:tc>
        <w:tc>
          <w:tcPr>
            <w:tcW w:type="dxa" w:w="5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Receives signal telemetry from all NP Nodes across all sectors. Signals only — no transaction payloads. AI data foundation. Operated in partnership with the Network Observability Partner.</w:t>
            </w:r>
          </w:p>
        </w:tc>
      </w:tr>
      <w:tr>
        <w:tc>
          <w:tcPr>
            <w:tcW w:type="dxa" w:w="3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b/>
                <w:bCs/>
                <w:color w:val="0F2044"/>
                <w:sz w:val="19"/>
                <w:szCs w:val="19"/>
              </w:rPr>
              <w:t xml:space="preserve">Notification &amp; Event Bus — Routing</w:t>
            </w:r>
          </w:p>
        </w:tc>
        <w:tc>
          <w:tcPr>
            <w:tcW w:type="dxa" w:w="130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Central</w:t>
            </w:r>
          </w:p>
        </w:tc>
        <w:tc>
          <w:tcPr>
            <w:tcW w:type="dxa" w:w="5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color w:val="0F172A"/>
                <w:sz w:val="19"/>
                <w:szCs w:val="19"/>
              </w:rPr>
              <w:t xml:space="preserve">Cross-NP event routing rules and schema defined centrally. Ensures state transitions are propagated to the right parties at the right time.</w:t>
            </w:r>
          </w:p>
        </w:tc>
      </w:tr>
      <w:tr>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b/>
                <w:bCs/>
                <w:color w:val="0F2044"/>
                <w:sz w:val="19"/>
                <w:szCs w:val="19"/>
              </w:rPr>
              <w:t xml:space="preserve">Grievance — L2/L3</w:t>
            </w:r>
          </w:p>
        </w:tc>
        <w:tc>
          <w:tcPr>
            <w:tcW w:type="dxa" w:w="130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Central</w:t>
            </w:r>
          </w:p>
        </w:tc>
        <w:tc>
          <w:tcPr>
            <w:tcW w:type="dxa" w:w="5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Escalated arbitration and penalty enforcement. Operates under TLC Administration. Bahasa Indonesia is the authoritative language for all formal rulings.</w:t>
            </w:r>
          </w:p>
        </w:tc>
      </w:tr>
      <w:tr>
        <w:tc>
          <w:tcPr>
            <w:tcW w:type="dxa" w:w="3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b/>
                <w:bCs/>
                <w:color w:val="0F2044"/>
                <w:sz w:val="19"/>
                <w:szCs w:val="19"/>
              </w:rPr>
              <w:t xml:space="preserve">Rating &amp; Credential Store</w:t>
            </w:r>
          </w:p>
        </w:tc>
        <w:tc>
          <w:tcPr>
            <w:tcW w:type="dxa" w:w="130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Central</w:t>
            </w:r>
          </w:p>
        </w:tc>
        <w:tc>
          <w:tcPr>
            <w:tcW w:type="dxa" w:w="5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color w:val="0F172A"/>
                <w:sz w:val="19"/>
                <w:szCs w:val="19"/>
              </w:rPr>
              <w:t xml:space="preserve">Network-wide portable reputation. Write-governed by ION rules. Read-accessible to all network participants. Contributes to trust scoring across apps.</w:t>
            </w:r>
          </w:p>
        </w:tc>
      </w:tr>
      <w:tr>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b/>
                <w:bCs/>
                <w:color w:val="0F2044"/>
                <w:sz w:val="19"/>
                <w:szCs w:val="19"/>
              </w:rPr>
              <w:t xml:space="preserve">Translation &amp; Language Service</w:t>
            </w:r>
          </w:p>
        </w:tc>
        <w:tc>
          <w:tcPr>
            <w:tcW w:type="dxa" w:w="130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Central</w:t>
            </w:r>
          </w:p>
        </w:tc>
        <w:tc>
          <w:tcPr>
            <w:tcW w:type="dxa" w:w="5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Maintains the governed bilingual glossary (English ↔ Bahasa Indonesia). Pre-translates catalogue at publish time. Provides real-time translation for Order-Scoped Communication and Grievance. English is canonical for technical artefacts; Bahasa Indonesia is authoritative for all legal and contract-of-record artefacts.</w:t>
            </w:r>
          </w:p>
        </w:tc>
      </w:tr>
    </w:tbl>
    <w:p>
      <w:pPr>
        <w:spacing w:before="160" w:after="0"/>
      </w:pPr>
      <w:r>
        <w:rPr>
          <w:rFonts w:ascii="Roboto" w:cs="Roboto" w:eastAsia="Roboto" w:hAnsi="Roboto"/>
          <w:color w:val="0F172A"/>
          <w:sz w:val="19"/>
          <w:szCs w:val="19"/>
        </w:rPr>
        <w:t xml:space="preserve"/>
      </w:r>
    </w:p>
    <w:p>
      <w:pPr>
        <w:pStyle w:val="Heading2"/>
        <w:spacing w:before="300" w:after="100"/>
      </w:pPr>
      <w:r>
        <w:rPr>
          <w:rFonts w:ascii="Roboto" w:cs="Roboto" w:eastAsia="Roboto" w:hAnsi="Roboto"/>
          <w:b/>
          <w:bCs/>
          <w:color w:val="0A7373"/>
          <w:sz w:val="28"/>
          <w:szCs w:val="28"/>
        </w:rPr>
        <w:t xml:space="preserve">4.2  Distributed Components — NP Node</w:t>
      </w:r>
    </w:p>
    <w:p>
      <w:pPr>
        <w:spacing w:before="8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These components run at the NP Node. The schema, API contract, and compliance rules are defined centrally by ION. The instance runs at the participant's node. Signals are emitted to the central Observability Platform for network-wide visibility.</w:t>
      </w:r>
    </w:p>
    <w:p>
      <w:pPr>
        <w:spacing w:before="10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5680"/>
      </w:tblGrid>
      <w:tr>
        <w:tc>
          <w:tcPr>
            <w:tcW w:type="dxa" w:w="31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Component</w:t>
            </w:r>
          </w:p>
        </w:tc>
        <w:tc>
          <w:tcPr>
            <w:tcW w:type="dxa" w:w="13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Model</w:t>
            </w:r>
          </w:p>
        </w:tc>
        <w:tc>
          <w:tcPr>
            <w:tcW w:type="dxa" w:w="568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Notes</w:t>
            </w:r>
          </w:p>
        </w:tc>
      </w:tr>
      <w:tr>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b/>
                <w:bCs/>
                <w:color w:val="0F2044"/>
                <w:sz w:val="19"/>
                <w:szCs w:val="19"/>
              </w:rPr>
              <w:t xml:space="preserve">ONIX — Compliance Execution</w:t>
            </w:r>
          </w:p>
        </w:tc>
        <w:tc>
          <w:tcPr>
            <w:tcW w:type="dxa" w:w="1300"/>
            <w:tcBorders>
              <w:top w:val="single" w:color="0A7373" w:sz="1"/>
              <w:left w:val="single" w:color="0A7373" w:sz="1"/>
              <w:bottom w:val="single" w:color="0A7373" w:sz="1"/>
              <w:right w:val="single" w:color="0A7373" w:sz="1"/>
            </w:tcBorders>
            <w:shd w:fill="0A7373"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Distributed</w:t>
            </w:r>
          </w:p>
        </w:tc>
        <w:tc>
          <w:tcPr>
            <w:tcW w:type="dxa" w:w="5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Runs locally at the NP Node against ION-published rules. Validates all messages in and out. Non-compliant messages are rejected before they reach the network. Signals emitted to Observability.</w:t>
            </w:r>
          </w:p>
        </w:tc>
      </w:tr>
      <w:tr>
        <w:tc>
          <w:tcPr>
            <w:tcW w:type="dxa" w:w="3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b/>
                <w:bCs/>
                <w:color w:val="0F2044"/>
                <w:sz w:val="19"/>
                <w:szCs w:val="19"/>
              </w:rPr>
              <w:t xml:space="preserve">Order State Machine</w:t>
            </w:r>
          </w:p>
        </w:tc>
        <w:tc>
          <w:tcPr>
            <w:tcW w:type="dxa" w:w="1300"/>
            <w:tcBorders>
              <w:top w:val="single" w:color="0A7373" w:sz="1"/>
              <w:left w:val="single" w:color="0A7373" w:sz="1"/>
              <w:bottom w:val="single" w:color="0A7373" w:sz="1"/>
              <w:right w:val="single" w:color="0A7373" w:sz="1"/>
            </w:tcBorders>
            <w:shd w:fill="0A7373"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Distributed</w:t>
            </w:r>
          </w:p>
        </w:tc>
        <w:tc>
          <w:tcPr>
            <w:tcW w:type="dxa" w:w="5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color w:val="0F172A"/>
                <w:sz w:val="19"/>
                <w:szCs w:val="19"/>
              </w:rPr>
              <w:t xml:space="preserve">Instance runs at NP Node. Schema ION-defined. States: Created → Confirmed → Active → Complete → Terminal. Cannot reach Terminal while Grievance or Settlement SMs are open. Signals flow to Observability.</w:t>
            </w:r>
          </w:p>
        </w:tc>
      </w:tr>
      <w:tr>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b/>
                <w:bCs/>
                <w:color w:val="0F2044"/>
                <w:sz w:val="19"/>
                <w:szCs w:val="19"/>
              </w:rPr>
              <w:t xml:space="preserve">Fulfillment State Machine</w:t>
            </w:r>
          </w:p>
        </w:tc>
        <w:tc>
          <w:tcPr>
            <w:tcW w:type="dxa" w:w="1300"/>
            <w:tcBorders>
              <w:top w:val="single" w:color="0A7373" w:sz="1"/>
              <w:left w:val="single" w:color="0A7373" w:sz="1"/>
              <w:bottom w:val="single" w:color="0A7373" w:sz="1"/>
              <w:right w:val="single" w:color="0A7373" w:sz="1"/>
            </w:tcBorders>
            <w:shd w:fill="0A7373"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Distributed</w:t>
            </w:r>
          </w:p>
        </w:tc>
        <w:tc>
          <w:tcPr>
            <w:tcW w:type="dxa" w:w="5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Instance runs at NP Node. Schema ION-defined. Updates flow from SNP to BNP per TLC-defined terms. Signals flow to Observability.</w:t>
            </w:r>
          </w:p>
        </w:tc>
      </w:tr>
      <w:tr>
        <w:tc>
          <w:tcPr>
            <w:tcW w:type="dxa" w:w="3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b/>
                <w:bCs/>
                <w:color w:val="0F2044"/>
                <w:sz w:val="19"/>
                <w:szCs w:val="19"/>
              </w:rPr>
              <w:t xml:space="preserve">Modification State Machine</w:t>
            </w:r>
          </w:p>
        </w:tc>
        <w:tc>
          <w:tcPr>
            <w:tcW w:type="dxa" w:w="1300"/>
            <w:tcBorders>
              <w:top w:val="single" w:color="0A7373" w:sz="1"/>
              <w:left w:val="single" w:color="0A7373" w:sz="1"/>
              <w:bottom w:val="single" w:color="0A7373" w:sz="1"/>
              <w:right w:val="single" w:color="0A7373" w:sz="1"/>
            </w:tcBorders>
            <w:shd w:fill="0A7373"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Distributed</w:t>
            </w:r>
          </w:p>
        </w:tc>
        <w:tc>
          <w:tcPr>
            <w:tcW w:type="dxa" w:w="5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color w:val="0F172A"/>
                <w:sz w:val="19"/>
                <w:szCs w:val="19"/>
              </w:rPr>
              <w:t xml:space="preserve">Instance runs at NP Node. Each transition requires TLC Administration validation before it can be applied. Penalty calculated automatically if modification falls outside agreed terms.</w:t>
            </w:r>
          </w:p>
        </w:tc>
      </w:tr>
      <w:tr>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b/>
                <w:bCs/>
                <w:color w:val="0F2044"/>
                <w:sz w:val="19"/>
                <w:szCs w:val="19"/>
              </w:rPr>
              <w:t xml:space="preserve">Pre-select Quote / Cache Engine</w:t>
            </w:r>
          </w:p>
        </w:tc>
        <w:tc>
          <w:tcPr>
            <w:tcW w:type="dxa" w:w="1300"/>
            <w:tcBorders>
              <w:top w:val="single" w:color="0A7373" w:sz="1"/>
              <w:left w:val="single" w:color="0A7373" w:sz="1"/>
              <w:bottom w:val="single" w:color="0A7373" w:sz="1"/>
              <w:right w:val="single" w:color="0A7373" w:sz="1"/>
            </w:tcBorders>
            <w:shd w:fill="0A7373"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Distributed</w:t>
            </w:r>
          </w:p>
        </w:tc>
        <w:tc>
          <w:tcPr>
            <w:tcW w:type="dxa" w:w="5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Runs at SNP Node. Resolves live price, inventory, and serviceability before the select call is made — eliminating the async round-trip latency problem. API contract ION-standardised so any BNP can call any SNP.</w:t>
            </w:r>
          </w:p>
        </w:tc>
      </w:tr>
      <w:tr>
        <w:tc>
          <w:tcPr>
            <w:tcW w:type="dxa" w:w="3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b/>
                <w:bCs/>
                <w:color w:val="0F2044"/>
                <w:sz w:val="19"/>
                <w:szCs w:val="19"/>
              </w:rPr>
              <w:t xml:space="preserve">Catalogue — Static Layer</w:t>
            </w:r>
          </w:p>
        </w:tc>
        <w:tc>
          <w:tcPr>
            <w:tcW w:type="dxa" w:w="1300"/>
            <w:tcBorders>
              <w:top w:val="single" w:color="0A7373" w:sz="1"/>
              <w:left w:val="single" w:color="0A7373" w:sz="1"/>
              <w:bottom w:val="single" w:color="0A7373" w:sz="1"/>
              <w:right w:val="single" w:color="0A7373" w:sz="1"/>
            </w:tcBorders>
            <w:shd w:fill="0A7373"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Distributed</w:t>
            </w:r>
          </w:p>
        </w:tc>
        <w:tc>
          <w:tcPr>
            <w:tcW w:type="dxa" w:w="5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color w:val="0F172A"/>
                <w:sz w:val="19"/>
                <w:szCs w:val="19"/>
              </w:rPr>
              <w:t xml:space="preserve">Seller-owned product master, profile, and pricing structures. Publish format ION-standardised. Pre-translated by Translation Service at publish time.</w:t>
            </w:r>
          </w:p>
        </w:tc>
      </w:tr>
      <w:tr>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b/>
                <w:bCs/>
                <w:color w:val="0F2044"/>
                <w:sz w:val="19"/>
                <w:szCs w:val="19"/>
              </w:rPr>
              <w:t xml:space="preserve">Catalogue — Real-time Layer</w:t>
            </w:r>
          </w:p>
        </w:tc>
        <w:tc>
          <w:tcPr>
            <w:tcW w:type="dxa" w:w="1300"/>
            <w:tcBorders>
              <w:top w:val="single" w:color="0A7373" w:sz="1"/>
              <w:left w:val="single" w:color="0A7373" w:sz="1"/>
              <w:bottom w:val="single" w:color="0A7373" w:sz="1"/>
              <w:right w:val="single" w:color="0A7373" w:sz="1"/>
            </w:tcBorders>
            <w:shd w:fill="0A7373"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Distributed</w:t>
            </w:r>
          </w:p>
        </w:tc>
        <w:tc>
          <w:tcPr>
            <w:tcW w:type="dxa" w:w="5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Live inventory levels, serviceability, and slot availability. Never leaves the SNP Node environment. Resolved on demand via the Quote Engine.</w:t>
            </w:r>
          </w:p>
        </w:tc>
      </w:tr>
      <w:tr>
        <w:tc>
          <w:tcPr>
            <w:tcW w:type="dxa" w:w="3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b/>
                <w:bCs/>
                <w:color w:val="0F2044"/>
                <w:sz w:val="19"/>
                <w:szCs w:val="19"/>
              </w:rPr>
              <w:t xml:space="preserve">Catalogue — Rules Layer</w:t>
            </w:r>
          </w:p>
        </w:tc>
        <w:tc>
          <w:tcPr>
            <w:tcW w:type="dxa" w:w="1300"/>
            <w:tcBorders>
              <w:top w:val="single" w:color="0A7373" w:sz="1"/>
              <w:left w:val="single" w:color="0A7373" w:sz="1"/>
              <w:bottom w:val="single" w:color="0A7373" w:sz="1"/>
              <w:right w:val="single" w:color="0A7373" w:sz="1"/>
            </w:tcBorders>
            <w:shd w:fill="0A7373"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Distributed</w:t>
            </w:r>
          </w:p>
        </w:tc>
        <w:tc>
          <w:tcPr>
            <w:tcW w:type="dxa" w:w="5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color w:val="0F172A"/>
                <w:sz w:val="19"/>
                <w:szCs w:val="19"/>
              </w:rPr>
              <w:t xml:space="preserve">Seller-defined pricing and offer rules. Arbitrarily complex rules (area-based, segment-based, seasonal, day/time) configured by the seller. Format ION-standardised. Executed at SNP Node.</w:t>
            </w:r>
          </w:p>
        </w:tc>
      </w:tr>
      <w:tr>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b/>
                <w:bCs/>
                <w:color w:val="0F2044"/>
                <w:sz w:val="19"/>
                <w:szCs w:val="19"/>
              </w:rPr>
              <w:t xml:space="preserve">Payment Collection &amp; Escrow</w:t>
            </w:r>
          </w:p>
        </w:tc>
        <w:tc>
          <w:tcPr>
            <w:tcW w:type="dxa" w:w="1300"/>
            <w:tcBorders>
              <w:top w:val="single" w:color="0A7373" w:sz="1"/>
              <w:left w:val="single" w:color="0A7373" w:sz="1"/>
              <w:bottom w:val="single" w:color="0A7373" w:sz="1"/>
              <w:right w:val="single" w:color="0A7373" w:sz="1"/>
            </w:tcBorders>
            <w:shd w:fill="0A7373"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Distributed</w:t>
            </w:r>
          </w:p>
        </w:tc>
        <w:tc>
          <w:tcPr>
            <w:tcW w:type="dxa" w:w="5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Executed at NP/TSP level. Rules for escrow hold and release triggers defined in TLC. Escrow release governed by Settlement State Machine at ION Core.</w:t>
            </w:r>
          </w:p>
        </w:tc>
      </w:tr>
      <w:tr>
        <w:tc>
          <w:tcPr>
            <w:tcW w:type="dxa" w:w="3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b/>
                <w:bCs/>
                <w:color w:val="0F2044"/>
                <w:sz w:val="19"/>
                <w:szCs w:val="19"/>
              </w:rPr>
              <w:t xml:space="preserve">Active Order IGM — L1</w:t>
            </w:r>
          </w:p>
        </w:tc>
        <w:tc>
          <w:tcPr>
            <w:tcW w:type="dxa" w:w="1300"/>
            <w:tcBorders>
              <w:top w:val="single" w:color="0A7373" w:sz="1"/>
              <w:left w:val="single" w:color="0A7373" w:sz="1"/>
              <w:bottom w:val="single" w:color="0A7373" w:sz="1"/>
              <w:right w:val="single" w:color="0A7373" w:sz="1"/>
            </w:tcBorders>
            <w:shd w:fill="0A7373"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Distributed</w:t>
            </w:r>
          </w:p>
        </w:tc>
        <w:tc>
          <w:tcPr>
            <w:tcW w:type="dxa" w:w="5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color w:val="0F172A"/>
                <w:sz w:val="19"/>
                <w:szCs w:val="19"/>
              </w:rPr>
              <w:t xml:space="preserve">L1 issue and grievance management handled at NP Node by the apps. Escalation signals flow to ION Core L2/L3 when L1 resolution window expires.</w:t>
            </w:r>
          </w:p>
        </w:tc>
      </w:tr>
      <w:tr>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b/>
                <w:bCs/>
                <w:color w:val="0F2044"/>
                <w:sz w:val="19"/>
                <w:szCs w:val="19"/>
              </w:rPr>
              <w:t xml:space="preserve">Grievance — L1</w:t>
            </w:r>
          </w:p>
        </w:tc>
        <w:tc>
          <w:tcPr>
            <w:tcW w:type="dxa" w:w="1300"/>
            <w:tcBorders>
              <w:top w:val="single" w:color="0A7373" w:sz="1"/>
              <w:left w:val="single" w:color="0A7373" w:sz="1"/>
              <w:bottom w:val="single" w:color="0A7373" w:sz="1"/>
              <w:right w:val="single" w:color="0A7373" w:sz="1"/>
            </w:tcBorders>
            <w:shd w:fill="0A7373"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Distributed</w:t>
            </w:r>
          </w:p>
        </w:tc>
        <w:tc>
          <w:tcPr>
            <w:tcW w:type="dxa" w:w="5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L1 grievance handling at NP Node. Structured evidence collection per ION-defined schema. Escalation to ION Core L2/L3 if unresolved within TLC-defined window.</w:t>
            </w:r>
          </w:p>
        </w:tc>
      </w:tr>
      <w:tr>
        <w:tc>
          <w:tcPr>
            <w:tcW w:type="dxa" w:w="3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b/>
                <w:bCs/>
                <w:color w:val="0F2044"/>
                <w:sz w:val="19"/>
                <w:szCs w:val="19"/>
              </w:rPr>
              <w:t xml:space="preserve">Order-Scoped Communication — Execution</w:t>
            </w:r>
          </w:p>
        </w:tc>
        <w:tc>
          <w:tcPr>
            <w:tcW w:type="dxa" w:w="1300"/>
            <w:tcBorders>
              <w:top w:val="single" w:color="0A7373" w:sz="1"/>
              <w:left w:val="single" w:color="0A7373" w:sz="1"/>
              <w:bottom w:val="single" w:color="0A7373" w:sz="1"/>
              <w:right w:val="single" w:color="0A7373" w:sz="1"/>
            </w:tcBorders>
            <w:shd w:fill="0A7373"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Distributed</w:t>
            </w:r>
          </w:p>
        </w:tc>
        <w:tc>
          <w:tcPr>
            <w:tcW w:type="dxa" w:w="5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color w:val="0F172A"/>
                <w:sz w:val="19"/>
                <w:szCs w:val="19"/>
              </w:rPr>
              <w:t xml:space="preserve">Real-time multi-modal communication (text, audio, video) between transaction parties. Scoped to order ID. Bound to Registry-verified participant identities. Three access phases: Active Order (all parties), Grievance (restricted), Post-settlement (read-only archived record).</w:t>
            </w:r>
          </w:p>
        </w:tc>
      </w:tr>
      <w:tr>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b/>
                <w:bCs/>
                <w:color w:val="0F2044"/>
                <w:sz w:val="19"/>
                <w:szCs w:val="19"/>
              </w:rPr>
              <w:t xml:space="preserve">Notification &amp; Event Bus — Delivery</w:t>
            </w:r>
          </w:p>
        </w:tc>
        <w:tc>
          <w:tcPr>
            <w:tcW w:type="dxa" w:w="1300"/>
            <w:tcBorders>
              <w:top w:val="single" w:color="0A7373" w:sz="1"/>
              <w:left w:val="single" w:color="0A7373" w:sz="1"/>
              <w:bottom w:val="single" w:color="0A7373" w:sz="1"/>
              <w:right w:val="single" w:color="0A7373" w:sz="1"/>
            </w:tcBorders>
            <w:shd w:fill="0A7373"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Distributed</w:t>
            </w:r>
          </w:p>
        </w:tc>
        <w:tc>
          <w:tcPr>
            <w:tcW w:type="dxa" w:w="5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Local delivery of notifications at NP Node. Cross-NP events route through ION Core routing layer.</w:t>
            </w:r>
          </w:p>
        </w:tc>
      </w:tr>
    </w:tbl>
    <w:p>
      <w:pPr>
        <w:spacing w:before="160" w:after="0"/>
      </w:pPr>
      <w:r>
        <w:rPr>
          <w:rFonts w:ascii="Roboto" w:cs="Roboto" w:eastAsia="Roboto" w:hAnsi="Roboto"/>
          <w:color w:val="0F172A"/>
          <w:sz w:val="19"/>
          <w:szCs w:val="19"/>
        </w:rPr>
        <w:t xml:space="preserve"/>
      </w:r>
    </w:p>
    <w:p>
      <w:pPr>
        <w:pStyle w:val="Heading2"/>
        <w:spacing w:before="300" w:after="100"/>
      </w:pPr>
      <w:r>
        <w:rPr>
          <w:rFonts w:ascii="Roboto" w:cs="Roboto" w:eastAsia="Roboto" w:hAnsi="Roboto"/>
          <w:b/>
          <w:bCs/>
          <w:color w:val="0A7373"/>
          <w:sz w:val="28"/>
          <w:szCs w:val="28"/>
        </w:rPr>
        <w:t xml:space="preserve">4.3  Federated Components</w:t>
      </w:r>
    </w:p>
    <w:p>
      <w:pPr>
        <w:spacing w:before="8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These components have their standard, schema, and rules defined centrally by ION, but execution is distributed at the NP Node level. ION Core retains visibility via signal telemetry.</w:t>
      </w:r>
    </w:p>
    <w:p>
      <w:pPr>
        <w:spacing w:before="10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5680"/>
      </w:tblGrid>
      <w:tr>
        <w:tc>
          <w:tcPr>
            <w:tcW w:type="dxa" w:w="31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Component</w:t>
            </w:r>
          </w:p>
        </w:tc>
        <w:tc>
          <w:tcPr>
            <w:tcW w:type="dxa" w:w="13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Model</w:t>
            </w:r>
          </w:p>
        </w:tc>
        <w:tc>
          <w:tcPr>
            <w:tcW w:type="dxa" w:w="568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Notes</w:t>
            </w:r>
          </w:p>
        </w:tc>
      </w:tr>
      <w:tr>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b/>
                <w:bCs/>
                <w:color w:val="0F2044"/>
                <w:sz w:val="19"/>
                <w:szCs w:val="19"/>
              </w:rPr>
              <w:t xml:space="preserve">Catalogue — Real-time Sync</w:t>
            </w:r>
          </w:p>
        </w:tc>
        <w:tc>
          <w:tcPr>
            <w:tcW w:type="dxa" w:w="1300"/>
            <w:tcBorders>
              <w:top w:val="single" w:color="5B2D8E" w:sz="1"/>
              <w:left w:val="single" w:color="5B2D8E" w:sz="1"/>
              <w:bottom w:val="single" w:color="5B2D8E" w:sz="1"/>
              <w:right w:val="single" w:color="5B2D8E" w:sz="1"/>
            </w:tcBorders>
            <w:shd w:fill="5B2D8E"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Federated</w:t>
            </w:r>
          </w:p>
        </w:tc>
        <w:tc>
          <w:tcPr>
            <w:tcW w:type="dxa" w:w="5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Sync protocol and schema ION-defined. Execution at SNP Node. Inventory and serviceability data never leaves the NP environment. Sync signals observable centrally.</w:t>
            </w:r>
          </w:p>
        </w:tc>
      </w:tr>
      <w:tr>
        <w:tc>
          <w:tcPr>
            <w:tcW w:type="dxa" w:w="3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b/>
                <w:bCs/>
                <w:color w:val="0F2044"/>
                <w:sz w:val="19"/>
                <w:szCs w:val="19"/>
              </w:rPr>
              <w:t xml:space="preserve">Payout Instructions &amp; Execution</w:t>
            </w:r>
          </w:p>
        </w:tc>
        <w:tc>
          <w:tcPr>
            <w:tcW w:type="dxa" w:w="1300"/>
            <w:tcBorders>
              <w:top w:val="single" w:color="5B2D8E" w:sz="1"/>
              <w:left w:val="single" w:color="5B2D8E" w:sz="1"/>
              <w:bottom w:val="single" w:color="5B2D8E" w:sz="1"/>
              <w:right w:val="single" w:color="5B2D8E" w:sz="1"/>
            </w:tcBorders>
            <w:shd w:fill="5B2D8E"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Federated</w:t>
            </w:r>
          </w:p>
        </w:tc>
        <w:tc>
          <w:tcPr>
            <w:tcW w:type="dxa" w:w="5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color w:val="0F172A"/>
                <w:sz w:val="19"/>
                <w:szCs w:val="19"/>
              </w:rPr>
              <w:t xml:space="preserve">Payout instructions generated centrally by the Settlement State Machine from TLC Administration outputs. Execution via licensed Settlement TSP on BI-FAST rails. ION defines the instruction schema; the TSP executes.</w:t>
            </w:r>
          </w:p>
        </w:tc>
      </w:tr>
      <w:tr>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b/>
                <w:bCs/>
                <w:color w:val="0F2044"/>
                <w:sz w:val="19"/>
                <w:szCs w:val="19"/>
              </w:rPr>
              <w:t xml:space="preserve">Order-Scoped Communication — Protocol</w:t>
            </w:r>
          </w:p>
        </w:tc>
        <w:tc>
          <w:tcPr>
            <w:tcW w:type="dxa" w:w="1300"/>
            <w:tcBorders>
              <w:top w:val="single" w:color="5B2D8E" w:sz="1"/>
              <w:left w:val="single" w:color="5B2D8E" w:sz="1"/>
              <w:bottom w:val="single" w:color="5B2D8E" w:sz="1"/>
              <w:right w:val="single" w:color="5B2D8E" w:sz="1"/>
            </w:tcBorders>
            <w:shd w:fill="5B2D8E"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Federated</w:t>
            </w:r>
          </w:p>
        </w:tc>
        <w:tc>
          <w:tcPr>
            <w:tcW w:type="dxa" w:w="5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Communication schema, participant identity binding, modality standards, and threading model defined centrally by ION. Execution at NP Node. Cross-NP communication routes through ION Core.</w:t>
            </w:r>
          </w:p>
        </w:tc>
      </w:tr>
    </w:tbl>
    <w:p>
      <w:pPr>
        <w:spacing w:before="160" w:after="0"/>
      </w:pPr>
      <w:r>
        <w:rPr>
          <w:rFonts w:ascii="Roboto" w:cs="Roboto" w:eastAsia="Roboto" w:hAnsi="Roboto"/>
          <w:color w:val="0F172A"/>
          <w:sz w:val="19"/>
          <w:szCs w:val="19"/>
        </w:rPr>
        <w:t xml:space="preserve"/>
      </w:r>
    </w:p>
    <w:p>
      <w:pPr>
        <w:pStyle w:val="Heading2"/>
        <w:spacing w:before="300" w:after="100"/>
      </w:pPr>
      <w:r>
        <w:rPr>
          <w:rFonts w:ascii="Roboto" w:cs="Roboto" w:eastAsia="Roboto" w:hAnsi="Roboto"/>
          <w:b/>
          <w:bCs/>
          <w:color w:val="0A7373"/>
          <w:sz w:val="28"/>
          <w:szCs w:val="28"/>
        </w:rPr>
        <w:t xml:space="preserve">4.4  ION Dev Lab &amp; Sandbox</w:t>
      </w:r>
    </w:p>
    <w:p>
      <w:pPr>
        <w:spacing w:before="8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ION Dev Lab is the standards, tooling, and certification environment. It is distinct from ION Central (the operational web platform) and from ION Core (the live network infrastructure). Dev Lab is the engine room from which ION publishes the standards and tools that govern everything that runs on the network.</w:t>
      </w:r>
    </w:p>
    <w:p>
      <w:pPr>
        <w:spacing w:before="10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5680"/>
      </w:tblGrid>
      <w:tr>
        <w:tc>
          <w:tcPr>
            <w:tcW w:type="dxa" w:w="31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Component</w:t>
            </w:r>
          </w:p>
        </w:tc>
        <w:tc>
          <w:tcPr>
            <w:tcW w:type="dxa" w:w="13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Model</w:t>
            </w:r>
          </w:p>
        </w:tc>
        <w:tc>
          <w:tcPr>
            <w:tcW w:type="dxa" w:w="568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Notes</w:t>
            </w:r>
          </w:p>
        </w:tc>
      </w:tr>
      <w:tr>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b/>
                <w:bCs/>
                <w:color w:val="0F2044"/>
                <w:sz w:val="19"/>
                <w:szCs w:val="19"/>
              </w:rPr>
              <w:t xml:space="preserve">Specification Management</w:t>
            </w:r>
          </w:p>
        </w:tc>
        <w:tc>
          <w:tcPr>
            <w:tcW w:type="dxa" w:w="130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Central</w:t>
            </w:r>
          </w:p>
        </w:tc>
        <w:tc>
          <w:tcPr>
            <w:tcW w:type="dxa" w:w="5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Where ION publishes and versions the canonical network specifications — Beckn 2.0 extensions, sector schema packs, API contracts, ONIX rule packs. The authoritative source for all technical artefacts.</w:t>
            </w:r>
          </w:p>
        </w:tc>
      </w:tr>
      <w:tr>
        <w:tc>
          <w:tcPr>
            <w:tcW w:type="dxa" w:w="3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b/>
                <w:bCs/>
                <w:color w:val="0F2044"/>
                <w:sz w:val="19"/>
                <w:szCs w:val="19"/>
              </w:rPr>
              <w:t xml:space="preserve">ONIX Rule Management</w:t>
            </w:r>
          </w:p>
        </w:tc>
        <w:tc>
          <w:tcPr>
            <w:tcW w:type="dxa" w:w="130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Central</w:t>
            </w:r>
          </w:p>
        </w:tc>
        <w:tc>
          <w:tcPr>
            <w:tcW w:type="dxa" w:w="5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color w:val="0F172A"/>
                <w:sz w:val="19"/>
                <w:szCs w:val="19"/>
              </w:rPr>
              <w:t xml:space="preserve">Where ONIX validation rules are authored, tested, and published to production. All rule changes must be validated in ION Sandbox before production deployment.</w:t>
            </w:r>
          </w:p>
        </w:tc>
      </w:tr>
      <w:tr>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b/>
                <w:bCs/>
                <w:color w:val="0F2044"/>
                <w:sz w:val="19"/>
                <w:szCs w:val="19"/>
              </w:rPr>
              <w:t xml:space="preserve">Adaptor Library</w:t>
            </w:r>
          </w:p>
        </w:tc>
        <w:tc>
          <w:tcPr>
            <w:tcW w:type="dxa" w:w="130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Central</w:t>
            </w:r>
          </w:p>
        </w:tc>
        <w:tc>
          <w:tcPr>
            <w:tcW w:type="dxa" w:w="5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Pre-built adaptors that TSPs and NPs can use to integrate with ION without building from scratch. Reduces integration effort and ensures consistent protocol compliance.</w:t>
            </w:r>
          </w:p>
        </w:tc>
      </w:tr>
      <w:tr>
        <w:tc>
          <w:tcPr>
            <w:tcW w:type="dxa" w:w="3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b/>
                <w:bCs/>
                <w:color w:val="0F2044"/>
                <w:sz w:val="19"/>
                <w:szCs w:val="19"/>
              </w:rPr>
              <w:t xml:space="preserve">ION Plug</w:t>
            </w:r>
          </w:p>
        </w:tc>
        <w:tc>
          <w:tcPr>
            <w:tcW w:type="dxa" w:w="130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Central</w:t>
            </w:r>
          </w:p>
        </w:tc>
        <w:tc>
          <w:tcPr>
            <w:tcW w:type="dxa" w:w="5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color w:val="0F172A"/>
                <w:sz w:val="19"/>
                <w:szCs w:val="19"/>
              </w:rPr>
              <w:t xml:space="preserve">The standardised NP Node package that participants deploy. ION defines and distributes the Plug. Everything above the Plug — the application logic, UX, and business workflows — is the NP or TSP's responsibility. One Plug codebase, sector-specific configuration profiles.</w:t>
            </w:r>
          </w:p>
        </w:tc>
      </w:tr>
      <w:tr>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b/>
                <w:bCs/>
                <w:color w:val="0F2044"/>
                <w:sz w:val="19"/>
                <w:szCs w:val="19"/>
              </w:rPr>
              <w:t xml:space="preserve">ION Sandbox</w:t>
            </w:r>
          </w:p>
        </w:tc>
        <w:tc>
          <w:tcPr>
            <w:tcW w:type="dxa" w:w="130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Central</w:t>
            </w:r>
          </w:p>
        </w:tc>
        <w:tc>
          <w:tcPr>
            <w:tcW w:type="dxa" w:w="5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Roboto" w:cs="Roboto" w:eastAsia="Roboto" w:hAnsi="Roboto"/>
                <w:color w:val="0F172A"/>
                <w:sz w:val="19"/>
                <w:szCs w:val="19"/>
              </w:rPr>
              <w:t xml:space="preserve">Full network simulation environment. Mirrors production fidelity. Used for: (1) NP/TSP certification before going live, (2) ION Dev Lab validation of rule and spec changes before production deployment, (3) ION Operations stress testing. Certification in Sandbox is a hard gate before production access is granted.</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2044" w:sz="1"/>
              <w:left w:val="single" w:color="0F2044" w:sz="1"/>
              <w:bottom w:val="single" w:color="0F2044" w:sz="1"/>
              <w:right w:val="single" w:color="0F2044" w:sz="1"/>
            </w:tcBorders>
            <w:shd w:fill="0F2044" w:val="clear"/>
            <w:tcMar>
              <w:top w:type="dxa" w:w="110"/>
              <w:left w:type="dxa" w:w="240"/>
              <w:bottom w:type="dxa" w:w="110"/>
              <w:right w:type="dxa" w:w="240"/>
            </w:tcMar>
          </w:tcPr>
          <w:p>
            <w:r>
              <w:rPr>
                <w:rFonts w:ascii="Roboto" w:cs="Roboto" w:eastAsia="Roboto" w:hAnsi="Roboto"/>
                <w:b/>
                <w:bCs/>
                <w:color w:val="FFFFFF"/>
                <w:sz w:val="24"/>
                <w:szCs w:val="24"/>
              </w:rPr>
              <w:t xml:space="preserve">5.  STATE MACHINES</w:t>
            </w:r>
          </w:p>
        </w:tc>
      </w:tr>
    </w:tbl>
    <w:p>
      <w:pPr>
        <w:spacing w:before="12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ION tracks five distinct state machines across every transaction. Each has a different architectural model reflecting where trust and authority need to sit. The relationship between them governs when settlement can be released and when an order can reach terminal state.</w:t>
      </w:r>
    </w:p>
    <w:p>
      <w:pPr>
        <w:spacing w:before="12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360"/>
        <w:gridCol w:w="3320"/>
      </w:tblGrid>
      <w:tr>
        <w:tc>
          <w:tcPr>
            <w:tcW w:type="dxa" w:w="22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State Machine</w:t>
            </w:r>
          </w:p>
        </w:tc>
        <w:tc>
          <w:tcPr>
            <w:tcW w:type="dxa" w:w="12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Model</w:t>
            </w:r>
          </w:p>
        </w:tc>
        <w:tc>
          <w:tcPr>
            <w:tcW w:type="dxa" w:w="336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States</w:t>
            </w:r>
          </w:p>
        </w:tc>
        <w:tc>
          <w:tcPr>
            <w:tcW w:type="dxa" w:w="332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Key Rules</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Roboto" w:cs="Roboto" w:eastAsia="Roboto" w:hAnsi="Roboto"/>
                <w:b/>
                <w:bCs/>
                <w:color w:val="0F172A"/>
                <w:sz w:val="19"/>
                <w:szCs w:val="19"/>
              </w:rPr>
              <w:t xml:space="preserve">Order State Machine</w:t>
            </w:r>
          </w:p>
        </w:tc>
        <w:tc>
          <w:tcPr>
            <w:tcW w:type="dxa" w:w="1200"/>
            <w:tcBorders>
              <w:top w:val="single" w:color="0A7373" w:sz="1"/>
              <w:left w:val="single" w:color="0A7373" w:sz="1"/>
              <w:bottom w:val="single" w:color="0A7373" w:sz="1"/>
              <w:right w:val="single" w:color="0A7373" w:sz="1"/>
            </w:tcBorders>
            <w:shd w:fill="0A7373"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Distributed</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i/>
                <w:iCs/>
                <w:color w:val="334155"/>
                <w:sz w:val="18"/>
                <w:szCs w:val="18"/>
              </w:rPr>
              <w:t xml:space="preserve">Created → Confirmed → Active → Complete → Terminal</w:t>
            </w:r>
          </w:p>
        </w:tc>
        <w:tc>
          <w:tcPr>
            <w:tcW w:type="dxa" w:w="332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Roboto" w:cs="Roboto" w:eastAsia="Roboto" w:hAnsi="Roboto"/>
                <w:color w:val="0F172A"/>
                <w:sz w:val="19"/>
                <w:szCs w:val="19"/>
              </w:rPr>
              <w:t xml:space="preserve">Signals to Observability; schema ION-defined; cannot reach terminal while Grievance or Settlement SM are open</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Roboto" w:cs="Roboto" w:eastAsia="Roboto" w:hAnsi="Roboto"/>
                <w:b/>
                <w:bCs/>
                <w:color w:val="0F172A"/>
                <w:sz w:val="19"/>
                <w:szCs w:val="19"/>
              </w:rPr>
              <w:t xml:space="preserve">Fulfillment State Machine</w:t>
            </w:r>
          </w:p>
        </w:tc>
        <w:tc>
          <w:tcPr>
            <w:tcW w:type="dxa" w:w="1200"/>
            <w:tcBorders>
              <w:top w:val="single" w:color="0A7373" w:sz="1"/>
              <w:left w:val="single" w:color="0A7373" w:sz="1"/>
              <w:bottom w:val="single" w:color="0A7373" w:sz="1"/>
              <w:right w:val="single" w:color="0A7373" w:sz="1"/>
            </w:tcBorders>
            <w:shd w:fill="0A7373"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Distributed</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i/>
                <w:iCs/>
                <w:color w:val="334155"/>
                <w:sz w:val="18"/>
                <w:szCs w:val="18"/>
              </w:rPr>
              <w:t xml:space="preserve">Pending → Assigned → In Transit → Delivered → Confirmed Complete</w:t>
            </w:r>
          </w:p>
        </w:tc>
        <w:tc>
          <w:tcPr>
            <w:tcW w:type="dxa" w:w="332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Roboto" w:cs="Roboto" w:eastAsia="Roboto" w:hAnsi="Roboto"/>
                <w:color w:val="0F172A"/>
                <w:sz w:val="19"/>
                <w:szCs w:val="19"/>
              </w:rPr>
              <w:t xml:space="preserve">Schema ION-defined; updates flow from SNP to BNP per TLC terms; signals to Observability</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Roboto" w:cs="Roboto" w:eastAsia="Roboto" w:hAnsi="Roboto"/>
                <w:b/>
                <w:bCs/>
                <w:color w:val="0F172A"/>
                <w:sz w:val="19"/>
                <w:szCs w:val="19"/>
              </w:rPr>
              <w:t xml:space="preserve">Modification State Machine</w:t>
            </w:r>
          </w:p>
        </w:tc>
        <w:tc>
          <w:tcPr>
            <w:tcW w:type="dxa" w:w="1200"/>
            <w:tcBorders>
              <w:top w:val="single" w:color="0A7373" w:sz="1"/>
              <w:left w:val="single" w:color="0A7373" w:sz="1"/>
              <w:bottom w:val="single" w:color="0A7373" w:sz="1"/>
              <w:right w:val="single" w:color="0A7373" w:sz="1"/>
            </w:tcBorders>
            <w:shd w:fill="0A7373"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Distributed</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i/>
                <w:iCs/>
                <w:color w:val="334155"/>
                <w:sz w:val="18"/>
                <w:szCs w:val="18"/>
              </w:rPr>
              <w:t xml:space="preserve">Requested → TLC Validated → Accepted / Rejected → Applied</w:t>
            </w:r>
          </w:p>
        </w:tc>
        <w:tc>
          <w:tcPr>
            <w:tcW w:type="dxa" w:w="332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Roboto" w:cs="Roboto" w:eastAsia="Roboto" w:hAnsi="Roboto"/>
                <w:color w:val="0F172A"/>
                <w:sz w:val="19"/>
                <w:szCs w:val="19"/>
              </w:rPr>
              <w:t xml:space="preserve">Each transition validated by TLC Administration; penalty calculated if applicable; Bahasa Indonesia authoritative for dispute</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Roboto" w:cs="Roboto" w:eastAsia="Roboto" w:hAnsi="Roboto"/>
                <w:b/>
                <w:bCs/>
                <w:color w:val="0F172A"/>
                <w:sz w:val="19"/>
                <w:szCs w:val="19"/>
              </w:rPr>
              <w:t xml:space="preserve">Grievance State Machine</w:t>
            </w:r>
          </w:p>
        </w:tc>
        <w:tc>
          <w:tcPr>
            <w:tcW w:type="dxa" w:w="1200"/>
            <w:tcBorders>
              <w:top w:val="single" w:color="5B2D8E" w:sz="1"/>
              <w:left w:val="single" w:color="5B2D8E" w:sz="1"/>
              <w:bottom w:val="single" w:color="5B2D8E" w:sz="1"/>
              <w:right w:val="single" w:color="5B2D8E" w:sz="1"/>
            </w:tcBorders>
            <w:shd w:fill="5B2D8E"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Federated</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i/>
                <w:iCs/>
                <w:color w:val="334155"/>
                <w:sz w:val="18"/>
                <w:szCs w:val="18"/>
              </w:rPr>
              <w:t xml:space="preserve">Filed (L1) → L1 Resolution / L2 Escalated → L2 Resolution / L3 Arbitration → Closed</w:t>
            </w:r>
          </w:p>
        </w:tc>
        <w:tc>
          <w:tcPr>
            <w:tcW w:type="dxa" w:w="332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Roboto" w:cs="Roboto" w:eastAsia="Roboto" w:hAnsi="Roboto"/>
                <w:color w:val="0F172A"/>
                <w:sz w:val="19"/>
                <w:szCs w:val="19"/>
              </w:rPr>
              <w:t xml:space="preserve">L1 at NP Node; L2/L3 at ION Core; must reach Closed before Settlement SM can release payout</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Roboto" w:cs="Roboto" w:eastAsia="Roboto" w:hAnsi="Roboto"/>
                <w:b/>
                <w:bCs/>
                <w:color w:val="0F172A"/>
                <w:sz w:val="19"/>
                <w:szCs w:val="19"/>
              </w:rPr>
              <w:t xml:space="preserve">Settlement State Machine</w:t>
            </w:r>
          </w:p>
        </w:tc>
        <w:tc>
          <w:tcPr>
            <w:tcW w:type="dxa" w:w="120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Central</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i/>
                <w:iCs/>
                <w:color w:val="334155"/>
                <w:sz w:val="18"/>
                <w:szCs w:val="18"/>
              </w:rPr>
              <w:t xml:space="preserve">Escrow Held → Fulfillment Confirmed → Grievance Clear → Adjustment Calculated → Payout Released → Settled</w:t>
            </w:r>
          </w:p>
        </w:tc>
        <w:tc>
          <w:tcPr>
            <w:tcW w:type="dxa" w:w="332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Roboto" w:cs="Roboto" w:eastAsia="Roboto" w:hAnsi="Roboto"/>
                <w:color w:val="0F172A"/>
                <w:sz w:val="19"/>
                <w:szCs w:val="19"/>
              </w:rPr>
              <w:t xml:space="preserve">Payout release requires Fulfillment SM complete AND Grievance SM closed; adjustment from TLC Admin; execution via BI-FAST</w:t>
            </w:r>
          </w:p>
        </w:tc>
      </w:tr>
    </w:tbl>
    <w:p>
      <w:pPr>
        <w:spacing w:before="16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392B" w:sz="1"/>
              <w:left w:val="single" w:color="C0392B" w:sz="14"/>
              <w:bottom w:val="single" w:color="C0392B" w:sz="1"/>
              <w:right w:val="single" w:color="C0392B" w:sz="1"/>
            </w:tcBorders>
            <w:shd w:fill="FDEDEB" w:val="clear"/>
            <w:tcMar>
              <w:top w:type="dxa" w:w="130"/>
              <w:left w:type="dxa" w:w="220"/>
              <w:bottom w:type="dxa" w:w="130"/>
              <w:right w:type="dxa" w:w="220"/>
            </w:tcMar>
          </w:tcPr>
          <w:p>
            <w:pPr>
              <w:spacing w:after="50"/>
            </w:pPr>
            <w:r>
              <w:rPr>
                <w:rFonts w:ascii="Roboto" w:cs="Roboto" w:eastAsia="Roboto" w:hAnsi="Roboto"/>
                <w:b/>
                <w:bCs/>
                <w:color w:val="C0392B"/>
                <w:sz w:val="19"/>
                <w:szCs w:val="19"/>
              </w:rPr>
              <w:t xml:space="preserve">Critical Dependency Chain</w:t>
            </w:r>
          </w:p>
          <w:p>
            <w:r>
              <w:rPr>
                <w:rFonts w:ascii="Roboto" w:cs="Roboto" w:eastAsia="Roboto" w:hAnsi="Roboto"/>
                <w:color w:val="0F172A"/>
                <w:sz w:val="19"/>
                <w:szCs w:val="19"/>
              </w:rPr>
              <w:t xml:space="preserve">Order Terminal State requires: (1) Fulfillment State Machine = Complete, AND (2) Grievance State Machine = Closed, AND (3) Settlement State Machine = Settled. No order can reach terminal state while any downstream SM remains open. This dependency chain is enforced by TLC Administration and cannot be bypassed.</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2044" w:sz="1"/>
              <w:left w:val="single" w:color="0F2044" w:sz="1"/>
              <w:bottom w:val="single" w:color="0F2044" w:sz="1"/>
              <w:right w:val="single" w:color="0F2044" w:sz="1"/>
            </w:tcBorders>
            <w:shd w:fill="0F2044" w:val="clear"/>
            <w:tcMar>
              <w:top w:type="dxa" w:w="110"/>
              <w:left w:type="dxa" w:w="240"/>
              <w:bottom w:type="dxa" w:w="110"/>
              <w:right w:type="dxa" w:w="240"/>
            </w:tcMar>
          </w:tcPr>
          <w:p>
            <w:r>
              <w:rPr>
                <w:rFonts w:ascii="Roboto" w:cs="Roboto" w:eastAsia="Roboto" w:hAnsi="Roboto"/>
                <w:b/>
                <w:bCs/>
                <w:color w:val="FFFFFF"/>
                <w:sz w:val="24"/>
                <w:szCs w:val="24"/>
              </w:rPr>
              <w:t xml:space="preserve">6.  CROSS-CUTTING CONCERNS</w:t>
            </w:r>
          </w:p>
        </w:tc>
      </w:tr>
    </w:tbl>
    <w:p>
      <w:pPr>
        <w:spacing w:before="12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The following concerns span the entire transaction lifecycle and multiple components. They are not features of a single component — they are properties that the architecture must preserve end to end.</w:t>
      </w:r>
    </w:p>
    <w:p>
      <w:pPr>
        <w:spacing w:before="160" w:after="0"/>
      </w:pPr>
      <w:r>
        <w:rPr>
          <w:rFonts w:ascii="Roboto" w:cs="Roboto" w:eastAsia="Roboto" w:hAnsi="Roboto"/>
          <w:color w:val="0F172A"/>
          <w:sz w:val="19"/>
          <w:szCs w:val="19"/>
        </w:rPr>
        <w:t xml:space="preserve"/>
      </w:r>
    </w:p>
    <w:p>
      <w:pPr>
        <w:pStyle w:val="Heading2"/>
        <w:spacing w:before="300" w:after="100"/>
      </w:pPr>
      <w:r>
        <w:rPr>
          <w:rFonts w:ascii="Roboto" w:cs="Roboto" w:eastAsia="Roboto" w:hAnsi="Roboto"/>
          <w:b/>
          <w:bCs/>
          <w:color w:val="0A7373"/>
          <w:sz w:val="28"/>
          <w:szCs w:val="28"/>
        </w:rPr>
        <w:t xml:space="preserve">6.1  Governance</w:t>
      </w:r>
    </w:p>
    <w:p>
      <w:pPr>
        <w:spacing w:before="8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Governance is how ION enforces rules and maintains accountability across all participants. It operates at two levels:</w:t>
      </w:r>
    </w:p>
    <w:p>
      <w:pPr>
        <w:spacing w:before="80" w:after="0"/>
      </w:pPr>
      <w:r>
        <w:rPr>
          <w:rFonts w:ascii="Roboto" w:cs="Roboto" w:eastAsia="Roboto" w:hAnsi="Roboto"/>
          <w:color w:val="0F172A"/>
          <w:sz w:val="19"/>
          <w:szCs w:val="19"/>
        </w:rPr>
        <w:t xml:space="preserve"/>
      </w:r>
    </w:p>
    <w:p>
      <w:pPr>
        <w:spacing w:before="60" w:after="110"/>
      </w:pPr>
      <w:r>
        <w:rPr>
          <w:rFonts w:ascii="Roboto" w:cs="Roboto" w:eastAsia="Roboto" w:hAnsi="Roboto"/>
          <w:b/>
          <w:bCs/>
          <w:color w:val="0F172A"/>
          <w:sz w:val="19"/>
          <w:szCs w:val="19"/>
        </w:rPr>
        <w:t xml:space="preserve">Network Level — </w:t>
      </w:r>
      <w:r>
        <w:rPr>
          <w:rFonts w:ascii="Roboto" w:cs="Roboto" w:eastAsia="Roboto" w:hAnsi="Roboto"/>
          <w:color w:val="0F172A"/>
          <w:sz w:val="19"/>
          <w:szCs w:val="19"/>
        </w:rPr>
        <w:t xml:space="preserve">The Network Policy Engine, Registry, and Static Terms (Tier 1 and 2) define who can participate, under what conditions, and what baseline obligations they accept. These cannot be varied by individual participants.</w:t>
      </w:r>
    </w:p>
    <w:p>
      <w:pPr>
        <w:spacing w:before="60" w:after="0"/>
      </w:pPr>
      <w:r>
        <w:rPr>
          <w:rFonts w:ascii="Roboto" w:cs="Roboto" w:eastAsia="Roboto" w:hAnsi="Roboto"/>
          <w:color w:val="0F172A"/>
          <w:sz w:val="19"/>
          <w:szCs w:val="19"/>
        </w:rPr>
        <w:t xml:space="preserve"/>
      </w:r>
    </w:p>
    <w:p>
      <w:pPr>
        <w:spacing w:before="60" w:after="110"/>
      </w:pPr>
      <w:r>
        <w:rPr>
          <w:rFonts w:ascii="Roboto" w:cs="Roboto" w:eastAsia="Roboto" w:hAnsi="Roboto"/>
          <w:b/>
          <w:bCs/>
          <w:color w:val="0F172A"/>
          <w:sz w:val="19"/>
          <w:szCs w:val="19"/>
        </w:rPr>
        <w:t xml:space="preserve">Transaction Level — </w:t>
      </w:r>
      <w:r>
        <w:rPr>
          <w:rFonts w:ascii="Roboto" w:cs="Roboto" w:eastAsia="Roboto" w:hAnsi="Roboto"/>
          <w:color w:val="0F172A"/>
          <w:sz w:val="19"/>
          <w:szCs w:val="19"/>
        </w:rPr>
        <w:t xml:space="preserve">TLC Administration is ION's operational governance arm at the transaction level. It receives state signals from NP Nodes, evaluates them against TLC terms, and issues authoritative rulings. It is the sole arbiter of whether a modification is permitted, a penalty applies, or a settlement adjustment is warranted.</w:t>
      </w:r>
    </w:p>
    <w:p>
      <w:pPr>
        <w:spacing w:before="10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A7373" w:sz="1"/>
              <w:left w:val="single" w:color="0A7373" w:sz="14"/>
              <w:bottom w:val="single" w:color="0A7373" w:sz="1"/>
              <w:right w:val="single" w:color="0A7373" w:sz="1"/>
            </w:tcBorders>
            <w:shd w:fill="E6F4F4" w:val="clear"/>
            <w:tcMar>
              <w:top w:type="dxa" w:w="130"/>
              <w:left w:type="dxa" w:w="220"/>
              <w:bottom w:type="dxa" w:w="130"/>
              <w:right w:type="dxa" w:w="220"/>
            </w:tcMar>
          </w:tcPr>
          <w:p>
            <w:pPr>
              <w:spacing w:after="50"/>
            </w:pPr>
            <w:r>
              <w:rPr>
                <w:rFonts w:ascii="Roboto" w:cs="Roboto" w:eastAsia="Roboto" w:hAnsi="Roboto"/>
                <w:b/>
                <w:bCs/>
                <w:color w:val="0A7373"/>
                <w:sz w:val="19"/>
                <w:szCs w:val="19"/>
              </w:rPr>
              <w:t xml:space="preserve">Governance Enforcement Levers</w:t>
            </w:r>
          </w:p>
          <w:p>
            <w:r>
              <w:rPr>
                <w:rFonts w:ascii="Roboto" w:cs="Roboto" w:eastAsia="Roboto" w:hAnsi="Roboto"/>
                <w:color w:val="0F172A"/>
                <w:sz w:val="19"/>
                <w:szCs w:val="19"/>
              </w:rPr>
              <w:t xml:space="preserve">Signal monitoring (Observability Platform flags non-compliant behaviour) → Certification gate (ION Sandbox must be passed before production access) → TLC Administration rulings (binding at transaction level) → Network access revocation (Registry entry can be suspended or removed by the Network Policy Engine).</w:t>
            </w:r>
          </w:p>
        </w:tc>
      </w:tr>
    </w:tbl>
    <w:p>
      <w:pPr>
        <w:spacing w:before="160" w:after="0"/>
      </w:pPr>
      <w:r>
        <w:rPr>
          <w:rFonts w:ascii="Roboto" w:cs="Roboto" w:eastAsia="Roboto" w:hAnsi="Roboto"/>
          <w:color w:val="0F172A"/>
          <w:sz w:val="19"/>
          <w:szCs w:val="19"/>
        </w:rPr>
        <w:t xml:space="preserve"/>
      </w:r>
    </w:p>
    <w:p>
      <w:pPr>
        <w:pStyle w:val="Heading2"/>
        <w:spacing w:before="300" w:after="100"/>
      </w:pPr>
      <w:r>
        <w:rPr>
          <w:rFonts w:ascii="Roboto" w:cs="Roboto" w:eastAsia="Roboto" w:hAnsi="Roboto"/>
          <w:b/>
          <w:bCs/>
          <w:color w:val="0A7373"/>
          <w:sz w:val="28"/>
          <w:szCs w:val="28"/>
        </w:rPr>
        <w:t xml:space="preserve">6.2  Quality of Service</w:t>
      </w:r>
    </w:p>
    <w:p>
      <w:pPr>
        <w:spacing w:before="8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QoS is enforced through the five state machines and TLC Administration working in concert. The TLC defines the SLA for every transaction. TLC Administration monitors state transitions against those SLAs. Penalties are calculated automatically on breach. The Settlement State Machine holds the escrow until QoS obligations are met — creating a direct financial incentive for both parties to perform.</w:t>
      </w:r>
    </w:p>
    <w:p>
      <w:pPr>
        <w:spacing w:before="8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Network-level QoS is visible through the Observability Platform — signal telemetry across all NP Nodes gives ION Operations a real-time view of latency, error rates, fulfillment completion rates, and grievance volumes by participant and by sector.</w:t>
      </w:r>
    </w:p>
    <w:p>
      <w:pPr>
        <w:spacing w:before="160" w:after="0"/>
      </w:pPr>
      <w:r>
        <w:rPr>
          <w:rFonts w:ascii="Roboto" w:cs="Roboto" w:eastAsia="Roboto" w:hAnsi="Roboto"/>
          <w:color w:val="0F172A"/>
          <w:sz w:val="19"/>
          <w:szCs w:val="19"/>
        </w:rPr>
        <w:t xml:space="preserve"/>
      </w:r>
    </w:p>
    <w:p>
      <w:pPr>
        <w:pStyle w:val="Heading2"/>
        <w:spacing w:before="300" w:after="100"/>
      </w:pPr>
      <w:r>
        <w:rPr>
          <w:rFonts w:ascii="Roboto" w:cs="Roboto" w:eastAsia="Roboto" w:hAnsi="Roboto"/>
          <w:b/>
          <w:bCs/>
          <w:color w:val="0A7373"/>
          <w:sz w:val="28"/>
          <w:szCs w:val="28"/>
        </w:rPr>
        <w:t xml:space="preserve">6.3  Three-Tier Terms Hierarchy</w:t>
      </w:r>
    </w:p>
    <w:p>
      <w:pPr>
        <w:spacing w:before="8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ION uses a three-tier terms structure to balance standardisation with flexibility. The hierarchy is strict — no lower tier can contradict a higher tier.</w:t>
      </w:r>
    </w:p>
    <w:p>
      <w:pPr>
        <w:spacing w:before="10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600"/>
        <w:gridCol w:w="3680"/>
      </w:tblGrid>
      <w:tr>
        <w:tc>
          <w:tcPr>
            <w:tcW w:type="dxa" w:w="7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Tier</w:t>
            </w:r>
          </w:p>
        </w:tc>
        <w:tc>
          <w:tcPr>
            <w:tcW w:type="dxa" w:w="21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Name</w:t>
            </w:r>
          </w:p>
        </w:tc>
        <w:tc>
          <w:tcPr>
            <w:tcW w:type="dxa" w:w="36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Scope</w:t>
            </w:r>
          </w:p>
        </w:tc>
        <w:tc>
          <w:tcPr>
            <w:tcW w:type="dxa" w:w="368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Who Authors</w:t>
            </w:r>
          </w:p>
        </w:tc>
      </w:tr>
      <w:tr>
        <w:tc>
          <w:tcPr>
            <w:tcW w:type="dxa" w:w="700"/>
            <w:tcBorders>
              <w:top w:val="single" w:color="0F2044" w:sz="1"/>
              <w:left w:val="single" w:color="0F2044" w:sz="1"/>
              <w:bottom w:val="single" w:color="0F2044" w:sz="1"/>
              <w:right w:val="single" w:color="0F2044" w:sz="1"/>
            </w:tcBorders>
            <w:shd w:fill="0F2044" w:val="clear"/>
            <w:tcMar>
              <w:top w:type="dxa" w:w="80"/>
              <w:left w:type="dxa" w:w="80"/>
              <w:bottom w:type="dxa" w:w="80"/>
              <w:right w:type="dxa" w:w="80"/>
            </w:tcMar>
            <w:vAlign w:val="center"/>
          </w:tcPr>
          <w:p>
            <w:pPr>
              <w:jc w:val="center"/>
            </w:pPr>
            <w:r>
              <w:rPr>
                <w:rFonts w:ascii="Roboto" w:cs="Roboto" w:eastAsia="Roboto" w:hAnsi="Roboto"/>
                <w:b/>
                <w:bCs/>
                <w:color w:val="FFFFFF"/>
                <w:sz w:val="20"/>
                <w:szCs w:val="20"/>
              </w:rPr>
              <w:t xml:space="preserve">T1</w:t>
            </w:r>
          </w:p>
        </w:tc>
        <w:tc>
          <w:tcPr>
            <w:tcW w:type="dxa" w:w="21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r>
              <w:rPr>
                <w:rFonts w:ascii="Roboto" w:cs="Roboto" w:eastAsia="Roboto" w:hAnsi="Roboto"/>
                <w:b/>
                <w:bCs/>
                <w:color w:val="1A3A6B"/>
                <w:sz w:val="19"/>
                <w:szCs w:val="19"/>
              </w:rPr>
              <w:t xml:space="preserve">Network Static Terms</w:t>
            </w:r>
          </w:p>
        </w:tc>
        <w:tc>
          <w:tcPr>
            <w:tcW w:type="dxa" w:w="3600"/>
            <w:tcBorders>
              <w:top w:val="single" w:color="F1F5F9" w:sz="1"/>
              <w:left w:val="single" w:color="F1F5F9" w:sz="1"/>
              <w:bottom w:val="single" w:color="F1F5F9" w:sz="1"/>
              <w:right w:val="single" w:color="F1F5F9" w:sz="1"/>
            </w:tcBorders>
            <w:shd w:fill="F1F5F9"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All participants, all sectors, all transactions. Cannot be overridden under any circumstances.</w:t>
            </w:r>
          </w:p>
        </w:tc>
        <w:tc>
          <w:tcPr>
            <w:tcW w:type="dxa" w:w="368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ION. Non-negotiable condition of network admission.</w:t>
            </w:r>
          </w:p>
        </w:tc>
      </w:tr>
      <w:tr>
        <w:tc>
          <w:tcPr>
            <w:tcW w:type="dxa" w:w="700"/>
            <w:tcBorders>
              <w:top w:val="single" w:color="0A7373" w:sz="1"/>
              <w:left w:val="single" w:color="0A7373" w:sz="1"/>
              <w:bottom w:val="single" w:color="0A7373" w:sz="1"/>
              <w:right w:val="single" w:color="0A7373" w:sz="1"/>
            </w:tcBorders>
            <w:shd w:fill="0A7373" w:val="clear"/>
            <w:tcMar>
              <w:top w:type="dxa" w:w="80"/>
              <w:left w:type="dxa" w:w="80"/>
              <w:bottom w:type="dxa" w:w="80"/>
              <w:right w:type="dxa" w:w="80"/>
            </w:tcMar>
            <w:vAlign w:val="center"/>
          </w:tcPr>
          <w:p>
            <w:pPr>
              <w:jc w:val="center"/>
            </w:pPr>
            <w:r>
              <w:rPr>
                <w:rFonts w:ascii="Roboto" w:cs="Roboto" w:eastAsia="Roboto" w:hAnsi="Roboto"/>
                <w:b/>
                <w:bCs/>
                <w:color w:val="FFFFFF"/>
                <w:sz w:val="20"/>
                <w:szCs w:val="20"/>
              </w:rPr>
              <w:t xml:space="preserve">T2</w:t>
            </w:r>
          </w:p>
        </w:tc>
        <w:tc>
          <w:tcPr>
            <w:tcW w:type="dxa" w:w="21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r>
              <w:rPr>
                <w:rFonts w:ascii="Roboto" w:cs="Roboto" w:eastAsia="Roboto" w:hAnsi="Roboto"/>
                <w:b/>
                <w:bCs/>
                <w:color w:val="1A3A6B"/>
                <w:sz w:val="19"/>
                <w:szCs w:val="19"/>
              </w:rPr>
              <w:t xml:space="preserve">Sector Static Terms</w:t>
            </w:r>
          </w:p>
        </w:tc>
        <w:tc>
          <w:tcPr>
            <w:tcW w:type="dxa" w:w="3600"/>
            <w:tcBorders>
              <w:top w:val="single" w:color="F1F5F9" w:sz="1"/>
              <w:left w:val="single" w:color="F1F5F9" w:sz="1"/>
              <w:bottom w:val="single" w:color="F1F5F9" w:sz="1"/>
              <w:right w:val="single" w:color="F1F5F9" w:sz="1"/>
            </w:tcBorders>
            <w:shd w:fill="F1F5F9"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All transactions within a specific sector. Can be extended but not contradicted by Tier 3.</w:t>
            </w:r>
          </w:p>
        </w:tc>
        <w:tc>
          <w:tcPr>
            <w:tcW w:type="dxa" w:w="368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ION in consultation with sector anchor TSPs. Versioned in ION Dev Lab.</w:t>
            </w:r>
          </w:p>
        </w:tc>
      </w:tr>
      <w:tr>
        <w:tc>
          <w:tcPr>
            <w:tcW w:type="dxa" w:w="700"/>
            <w:tcBorders>
              <w:top w:val="single" w:color="5B2D8E" w:sz="1"/>
              <w:left w:val="single" w:color="5B2D8E" w:sz="1"/>
              <w:bottom w:val="single" w:color="5B2D8E" w:sz="1"/>
              <w:right w:val="single" w:color="5B2D8E" w:sz="1"/>
            </w:tcBorders>
            <w:shd w:fill="5B2D8E" w:val="clear"/>
            <w:tcMar>
              <w:top w:type="dxa" w:w="80"/>
              <w:left w:type="dxa" w:w="80"/>
              <w:bottom w:type="dxa" w:w="80"/>
              <w:right w:type="dxa" w:w="80"/>
            </w:tcMar>
            <w:vAlign w:val="center"/>
          </w:tcPr>
          <w:p>
            <w:pPr>
              <w:jc w:val="center"/>
            </w:pPr>
            <w:r>
              <w:rPr>
                <w:rFonts w:ascii="Roboto" w:cs="Roboto" w:eastAsia="Roboto" w:hAnsi="Roboto"/>
                <w:b/>
                <w:bCs/>
                <w:color w:val="FFFFFF"/>
                <w:sz w:val="20"/>
                <w:szCs w:val="20"/>
              </w:rPr>
              <w:t xml:space="preserve">T3</w:t>
            </w:r>
          </w:p>
        </w:tc>
        <w:tc>
          <w:tcPr>
            <w:tcW w:type="dxa" w:w="21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r>
              <w:rPr>
                <w:rFonts w:ascii="Roboto" w:cs="Roboto" w:eastAsia="Roboto" w:hAnsi="Roboto"/>
                <w:b/>
                <w:bCs/>
                <w:color w:val="1A3A6B"/>
                <w:sz w:val="19"/>
                <w:szCs w:val="19"/>
              </w:rPr>
              <w:t xml:space="preserve">TLC — Transaction Terms</w:t>
            </w:r>
          </w:p>
        </w:tc>
        <w:tc>
          <w:tcPr>
            <w:tcW w:type="dxa" w:w="3600"/>
            <w:tcBorders>
              <w:top w:val="single" w:color="F1F5F9" w:sz="1"/>
              <w:left w:val="single" w:color="F1F5F9" w:sz="1"/>
              <w:bottom w:val="single" w:color="F1F5F9" w:sz="1"/>
              <w:right w:val="single" w:color="F1F5F9" w:sz="1"/>
            </w:tcBorders>
            <w:shd w:fill="F1F5F9"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Specific transaction between a buyer and seller. Operates only in the space Tier 2 explicitly leaves open.</w:t>
            </w:r>
          </w:p>
        </w:tc>
        <w:tc>
          <w:tcPr>
            <w:tcW w:type="dxa" w:w="368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Negotiated between BNP and SNP at transaction time. Stored at ION Core.</w:t>
            </w:r>
          </w:p>
        </w:tc>
      </w:tr>
    </w:tbl>
    <w:p>
      <w:pPr>
        <w:spacing w:before="160" w:after="0"/>
      </w:pPr>
      <w:r>
        <w:rPr>
          <w:rFonts w:ascii="Roboto" w:cs="Roboto" w:eastAsia="Roboto" w:hAnsi="Roboto"/>
          <w:color w:val="0F172A"/>
          <w:sz w:val="19"/>
          <w:szCs w:val="19"/>
        </w:rPr>
        <w:t xml:space="preserve"/>
      </w:r>
    </w:p>
    <w:p>
      <w:pPr>
        <w:pStyle w:val="Heading2"/>
        <w:spacing w:before="300" w:after="100"/>
      </w:pPr>
      <w:r>
        <w:rPr>
          <w:rFonts w:ascii="Roboto" w:cs="Roboto" w:eastAsia="Roboto" w:hAnsi="Roboto"/>
          <w:b/>
          <w:bCs/>
          <w:color w:val="0A7373"/>
          <w:sz w:val="28"/>
          <w:szCs w:val="28"/>
        </w:rPr>
        <w:t xml:space="preserve">6.4  Observability &amp; Signal Telemetry</w:t>
      </w:r>
    </w:p>
    <w:p>
      <w:pPr>
        <w:spacing w:before="8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Central infrastructure receives signals, not payloads. A signal contains: transaction ID, NP IDs, flow action, status, latency, and timestamp. No customer data. No product details. No transaction value. This distinction is critical — it means ION can maintain full network governance visibility without centralising sensitive data, and without creating a data sovereignty concern for participants.</w:t>
      </w:r>
    </w:p>
    <w:p>
      <w:pPr>
        <w:spacing w:before="8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A7373" w:sz="1"/>
              <w:left w:val="single" w:color="0A7373" w:sz="14"/>
              <w:bottom w:val="single" w:color="0A7373" w:sz="1"/>
              <w:right w:val="single" w:color="0A7373" w:sz="1"/>
            </w:tcBorders>
            <w:shd w:fill="E6F4F4" w:val="clear"/>
            <w:tcMar>
              <w:top w:type="dxa" w:w="130"/>
              <w:left w:type="dxa" w:w="220"/>
              <w:bottom w:type="dxa" w:w="130"/>
              <w:right w:type="dxa" w:w="220"/>
            </w:tcMar>
          </w:tcPr>
          <w:p>
            <w:pPr>
              <w:spacing w:after="50"/>
            </w:pPr>
            <w:r>
              <w:rPr>
                <w:rFonts w:ascii="Roboto" w:cs="Roboto" w:eastAsia="Roboto" w:hAnsi="Roboto"/>
                <w:b/>
                <w:bCs/>
                <w:color w:val="0A7373"/>
                <w:sz w:val="19"/>
                <w:szCs w:val="19"/>
              </w:rPr>
              <w:t xml:space="preserve">Signals vs Payloads</w:t>
            </w:r>
          </w:p>
          <w:p>
            <w:r>
              <w:rPr>
                <w:rFonts w:ascii="Roboto" w:cs="Roboto" w:eastAsia="Roboto" w:hAnsi="Roboto"/>
                <w:color w:val="0F172A"/>
                <w:sz w:val="19"/>
                <w:szCs w:val="19"/>
              </w:rPr>
              <w:t xml:space="preserve">Full telemetry = gigabytes per hour, sensitive data exposure, regulatory concern, NP objection. Signal telemetry = kilobytes per hour, no sensitive data, negligible overhead, no regulatory concern. Signal telemetry gives ION Operations everything needed for governance without everything that would prevent the network from scaling.</w:t>
            </w:r>
          </w:p>
        </w:tc>
      </w:tr>
    </w:tbl>
    <w:p>
      <w:pPr>
        <w:spacing w:before="160" w:after="0"/>
      </w:pPr>
      <w:r>
        <w:rPr>
          <w:rFonts w:ascii="Roboto" w:cs="Roboto" w:eastAsia="Roboto" w:hAnsi="Roboto"/>
          <w:color w:val="0F172A"/>
          <w:sz w:val="19"/>
          <w:szCs w:val="19"/>
        </w:rPr>
        <w:t xml:space="preserve"/>
      </w:r>
    </w:p>
    <w:p>
      <w:pPr>
        <w:pStyle w:val="Heading2"/>
        <w:spacing w:before="300" w:after="100"/>
      </w:pPr>
      <w:r>
        <w:rPr>
          <w:rFonts w:ascii="Roboto" w:cs="Roboto" w:eastAsia="Roboto" w:hAnsi="Roboto"/>
          <w:b/>
          <w:bCs/>
          <w:color w:val="0A7373"/>
          <w:sz w:val="28"/>
          <w:szCs w:val="28"/>
        </w:rPr>
        <w:t xml:space="preserve">6.5  Language &amp; Translation</w:t>
      </w:r>
    </w:p>
    <w:p>
      <w:pPr>
        <w:spacing w:before="8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ION operates in two languages. The governing principle is: English is the language of implementation; Bahasa Indonesia is the language of law.</w:t>
      </w:r>
    </w:p>
    <w:p>
      <w:pPr>
        <w:spacing w:before="8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Artefact</w:t>
            </w:r>
          </w:p>
        </w:tc>
        <w:tc>
          <w:tcPr>
            <w:tcW w:type="dxa" w:w="36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English (Canonical)</w:t>
            </w:r>
          </w:p>
        </w:tc>
        <w:tc>
          <w:tcPr>
            <w:tcW w:type="dxa" w:w="428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Bahasa Indonesia (Authoritative)</w:t>
            </w:r>
          </w:p>
        </w:tc>
      </w:tr>
      <w:tr>
        <w:tc>
          <w:tcPr>
            <w:tcW w:type="dxa" w:w="220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bCs/>
                <w:color w:val="0A7373"/>
                <w:sz w:val="19"/>
                <w:szCs w:val="19"/>
              </w:rPr>
              <w:t xml:space="preserve">APIs, Schemas, Field Names</w:t>
            </w:r>
          </w:p>
        </w:tc>
        <w:tc>
          <w:tcPr>
            <w:tcW w:type="dxa" w:w="360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Canonical definition. All developer-facing documentation.</w:t>
            </w:r>
          </w:p>
        </w:tc>
        <w:tc>
          <w:tcPr>
            <w:tcW w:type="dxa" w:w="428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val="false"/>
                <w:bCs w:val="false"/>
                <w:color w:val="C47A00"/>
                <w:sz w:val="19"/>
                <w:szCs w:val="19"/>
              </w:rPr>
              <w:t xml:space="preserve">Display labels in consumer-facing UIs.</w:t>
            </w:r>
          </w:p>
        </w:tc>
      </w:tr>
      <w:tr>
        <w:tc>
          <w:tcPr>
            <w:tcW w:type="dxa" w:w="220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bCs/>
                <w:color w:val="0A7373"/>
                <w:sz w:val="19"/>
                <w:szCs w:val="19"/>
              </w:rPr>
              <w:t xml:space="preserve">ONIX Validation Rules</w:t>
            </w:r>
          </w:p>
        </w:tc>
        <w:tc>
          <w:tcPr>
            <w:tcW w:type="dxa" w:w="360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Developer reference and implementation.</w:t>
            </w:r>
          </w:p>
        </w:tc>
        <w:tc>
          <w:tcPr>
            <w:tcW w:type="dxa" w:w="428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val="false"/>
                <w:bCs w:val="false"/>
                <w:color w:val="C47A00"/>
                <w:sz w:val="19"/>
                <w:szCs w:val="19"/>
              </w:rPr>
              <w:t xml:space="preserve">Regulatory submission and compliance reporting.</w:t>
            </w:r>
          </w:p>
        </w:tc>
      </w:tr>
      <w:tr>
        <w:tc>
          <w:tcPr>
            <w:tcW w:type="dxa" w:w="220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bCs/>
                <w:color w:val="0A7373"/>
                <w:sz w:val="19"/>
                <w:szCs w:val="19"/>
              </w:rPr>
              <w:t xml:space="preserve">Network &amp; Sector Static Terms</w:t>
            </w:r>
          </w:p>
        </w:tc>
        <w:tc>
          <w:tcPr>
            <w:tcW w:type="dxa" w:w="360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Technical reference and developer documentation.</w:t>
            </w:r>
          </w:p>
        </w:tc>
        <w:tc>
          <w:tcPr>
            <w:tcW w:type="dxa" w:w="428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val="false"/>
                <w:bCs w:val="false"/>
                <w:color w:val="C47A00"/>
                <w:sz w:val="19"/>
                <w:szCs w:val="19"/>
              </w:rPr>
              <w:t xml:space="preserve">Legally binding version. Governs in all disputes.</w:t>
            </w:r>
          </w:p>
        </w:tc>
      </w:tr>
      <w:tr>
        <w:tc>
          <w:tcPr>
            <w:tcW w:type="dxa" w:w="220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bCs/>
                <w:color w:val="0A7373"/>
                <w:sz w:val="19"/>
                <w:szCs w:val="19"/>
              </w:rPr>
              <w:t xml:space="preserve">TLC Contract Record</w:t>
            </w:r>
          </w:p>
        </w:tc>
        <w:tc>
          <w:tcPr>
            <w:tcW w:type="dxa" w:w="360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Working reference for technical integration.</w:t>
            </w:r>
          </w:p>
        </w:tc>
        <w:tc>
          <w:tcPr>
            <w:tcW w:type="dxa" w:w="428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val="false"/>
                <w:bCs w:val="false"/>
                <w:color w:val="C47A00"/>
                <w:sz w:val="19"/>
                <w:szCs w:val="19"/>
              </w:rPr>
              <w:t xml:space="preserve">Legally binding record. Governs in all arbitration.</w:t>
            </w:r>
          </w:p>
        </w:tc>
      </w:tr>
      <w:tr>
        <w:tc>
          <w:tcPr>
            <w:tcW w:type="dxa" w:w="220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bCs/>
                <w:color w:val="0A7373"/>
                <w:sz w:val="19"/>
                <w:szCs w:val="19"/>
              </w:rPr>
              <w:t xml:space="preserve">Grievance Rulings</w:t>
            </w:r>
          </w:p>
        </w:tc>
        <w:tc>
          <w:tcPr>
            <w:tcW w:type="dxa" w:w="360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Operational working language for ION Operations.</w:t>
            </w:r>
          </w:p>
        </w:tc>
        <w:tc>
          <w:tcPr>
            <w:tcW w:type="dxa" w:w="428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val="false"/>
                <w:bCs w:val="false"/>
                <w:color w:val="C47A00"/>
                <w:sz w:val="19"/>
                <w:szCs w:val="19"/>
              </w:rPr>
              <w:t xml:space="preserve">Formal ruling language. Submitted to regulatory bodies if required.</w:t>
            </w:r>
          </w:p>
        </w:tc>
      </w:tr>
      <w:tr>
        <w:tc>
          <w:tcPr>
            <w:tcW w:type="dxa" w:w="220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bCs/>
                <w:color w:val="0A7373"/>
                <w:sz w:val="19"/>
                <w:szCs w:val="19"/>
              </w:rPr>
              <w:t xml:space="preserve">Consumer Notifications</w:t>
            </w:r>
          </w:p>
        </w:tc>
        <w:tc>
          <w:tcPr>
            <w:tcW w:type="dxa" w:w="360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API-level trigger and schema.</w:t>
            </w:r>
          </w:p>
        </w:tc>
        <w:tc>
          <w:tcPr>
            <w:tcW w:type="dxa" w:w="428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val="false"/>
                <w:bCs w:val="false"/>
                <w:color w:val="C47A00"/>
                <w:sz w:val="19"/>
                <w:szCs w:val="19"/>
              </w:rPr>
              <w:t xml:space="preserve">Delivered to Indonesian consumers in Bahasa Indonesia.</w:t>
            </w:r>
          </w:p>
        </w:tc>
      </w:tr>
    </w:tbl>
    <w:p>
      <w:pPr>
        <w:spacing w:before="10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When there is ambiguity between the English and Bahasa Indonesia versions of any legal artefact, the Bahasa Indonesia version is authoritative. This should be rare because the governed glossary is maintained with precision to prevent divergence. The glossary is ION-owned and versioned in ION Dev Lab.</w:t>
      </w:r>
    </w:p>
    <w:p>
      <w:pPr>
        <w:spacing w:before="8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7A4A" w:sz="1"/>
              <w:left w:val="single" w:color="1A7A4A" w:sz="14"/>
              <w:bottom w:val="single" w:color="1A7A4A" w:sz="1"/>
              <w:right w:val="single" w:color="1A7A4A" w:sz="1"/>
            </w:tcBorders>
            <w:shd w:fill="E8F8EE" w:val="clear"/>
            <w:tcMar>
              <w:top w:type="dxa" w:w="130"/>
              <w:left w:type="dxa" w:w="220"/>
              <w:bottom w:type="dxa" w:w="130"/>
              <w:right w:type="dxa" w:w="220"/>
            </w:tcMar>
          </w:tcPr>
          <w:p>
            <w:pPr>
              <w:spacing w:after="50"/>
            </w:pPr>
            <w:r>
              <w:rPr>
                <w:rFonts w:ascii="Roboto" w:cs="Roboto" w:eastAsia="Roboto" w:hAnsi="Roboto"/>
                <w:b/>
                <w:bCs/>
                <w:color w:val="1A7A4A"/>
                <w:sz w:val="19"/>
                <w:szCs w:val="19"/>
              </w:rPr>
              <w:t xml:space="preserve">Portability</w:t>
            </w:r>
          </w:p>
          <w:p>
            <w:r>
              <w:rPr>
                <w:rFonts w:ascii="Roboto" w:cs="Roboto" w:eastAsia="Roboto" w:hAnsi="Roboto"/>
                <w:color w:val="0F172A"/>
                <w:sz w:val="19"/>
                <w:szCs w:val="19"/>
              </w:rPr>
              <w:t xml:space="preserve">This model makes ION architecturally portable to other markets. A new market adds its local language as the legal layer while the English canonical layer remains unchanged. The architecture does not need to change — only the glossary and legal layer extend.</w:t>
            </w:r>
          </w:p>
        </w:tc>
      </w:tr>
    </w:tbl>
    <w:p>
      <w:pPr>
        <w:spacing w:before="160" w:after="0"/>
      </w:pPr>
      <w:r>
        <w:rPr>
          <w:rFonts w:ascii="Roboto" w:cs="Roboto" w:eastAsia="Roboto" w:hAnsi="Roboto"/>
          <w:color w:val="0F172A"/>
          <w:sz w:val="19"/>
          <w:szCs w:val="19"/>
        </w:rPr>
        <w:t xml:space="preserve"/>
      </w:r>
    </w:p>
    <w:p>
      <w:pPr>
        <w:pStyle w:val="Heading2"/>
        <w:spacing w:before="300" w:after="100"/>
      </w:pPr>
      <w:r>
        <w:rPr>
          <w:rFonts w:ascii="Roboto" w:cs="Roboto" w:eastAsia="Roboto" w:hAnsi="Roboto"/>
          <w:b/>
          <w:bCs/>
          <w:color w:val="0A7373"/>
          <w:sz w:val="28"/>
          <w:szCs w:val="28"/>
        </w:rPr>
        <w:t xml:space="preserve">6.6  Security &amp; Non-repudiation</w:t>
      </w:r>
    </w:p>
    <w:p>
      <w:pPr>
        <w:spacing w:before="8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Every participant on ION is Registry-verified. Every message in every flow is signed against a Registry-verified identity. This means no message can be repudiated — both parties know who sent what, and when. The audit trail is built into the architecture, not bolted on.</w:t>
      </w:r>
    </w:p>
    <w:p>
      <w:pPr>
        <w:spacing w:before="80" w:after="0"/>
      </w:pPr>
      <w:r>
        <w:rPr>
          <w:rFonts w:ascii="Roboto" w:cs="Roboto" w:eastAsia="Roboto" w:hAnsi="Roboto"/>
          <w:color w:val="0F172A"/>
          <w:sz w:val="19"/>
          <w:szCs w:val="19"/>
        </w:rPr>
        <w:t xml:space="preserve"/>
      </w:r>
    </w:p>
    <w:p>
      <w:pPr>
        <w:pStyle w:val="ListParagraph"/>
        <w:numPr>
          <w:ilvl w:val="0"/>
          <w:numId w:val="2"/>
        </w:numPr>
        <w:spacing w:before="40" w:after="55"/>
      </w:pPr>
      <w:r>
        <w:rPr>
          <w:rFonts w:ascii="Roboto" w:cs="Roboto" w:eastAsia="Roboto" w:hAnsi="Roboto"/>
          <w:color w:val="0F172A"/>
          <w:sz w:val="19"/>
          <w:szCs w:val="19"/>
        </w:rPr>
        <w:t xml:space="preserve">Registry is the identity trust anchor — participant credentials are issued at admission and cannot be self-issued</w:t>
      </w:r>
    </w:p>
    <w:p>
      <w:pPr>
        <w:pStyle w:val="ListParagraph"/>
        <w:numPr>
          <w:ilvl w:val="0"/>
          <w:numId w:val="2"/>
        </w:numPr>
        <w:spacing w:before="40" w:after="55"/>
      </w:pPr>
      <w:r>
        <w:rPr>
          <w:rFonts w:ascii="Roboto" w:cs="Roboto" w:eastAsia="Roboto" w:hAnsi="Roboto"/>
          <w:color w:val="0F172A"/>
          <w:sz w:val="19"/>
          <w:szCs w:val="19"/>
        </w:rPr>
        <w:t xml:space="preserve">ONIX validates message signatures at the NP Node — unsigned or incorrectly signed messages are rejected before they reach the network</w:t>
      </w:r>
    </w:p>
    <w:p>
      <w:pPr>
        <w:pStyle w:val="ListParagraph"/>
        <w:numPr>
          <w:ilvl w:val="0"/>
          <w:numId w:val="2"/>
        </w:numPr>
        <w:spacing w:before="40" w:after="55"/>
      </w:pPr>
      <w:r>
        <w:rPr>
          <w:rFonts w:ascii="Roboto" w:cs="Roboto" w:eastAsia="Roboto" w:hAnsi="Roboto"/>
          <w:color w:val="0F172A"/>
          <w:sz w:val="19"/>
          <w:szCs w:val="19"/>
        </w:rPr>
        <w:t xml:space="preserve">TLC Contract Record is held by ION Core — neither transacting party can modify or dispute the agreed terms after confirmation</w:t>
      </w:r>
    </w:p>
    <w:p>
      <w:pPr>
        <w:pStyle w:val="ListParagraph"/>
        <w:numPr>
          <w:ilvl w:val="0"/>
          <w:numId w:val="2"/>
        </w:numPr>
        <w:spacing w:before="40" w:after="55"/>
      </w:pPr>
      <w:r>
        <w:rPr>
          <w:rFonts w:ascii="Roboto" w:cs="Roboto" w:eastAsia="Roboto" w:hAnsi="Roboto"/>
          <w:color w:val="0F172A"/>
          <w:sz w:val="19"/>
          <w:szCs w:val="19"/>
        </w:rPr>
        <w:t xml:space="preserve">Order-Scoped Communication is bound to verified participant identities — impersonation within an order thread is architecturally prevented</w:t>
      </w:r>
    </w:p>
    <w:p>
      <w:pPr>
        <w:pStyle w:val="ListParagraph"/>
        <w:numPr>
          <w:ilvl w:val="0"/>
          <w:numId w:val="2"/>
        </w:numPr>
        <w:spacing w:before="40" w:after="55"/>
      </w:pPr>
      <w:r>
        <w:rPr>
          <w:rFonts w:ascii="Roboto" w:cs="Roboto" w:eastAsia="Roboto" w:hAnsi="Roboto"/>
          <w:color w:val="0F172A"/>
          <w:sz w:val="19"/>
          <w:szCs w:val="19"/>
        </w:rPr>
        <w:t xml:space="preserve">Signal telemetry creates a non-repudiable network-level audit trail — ION Operations can reconstruct the sequence of events for any transaction</w:t>
      </w:r>
    </w:p>
    <w:p>
      <w:pPr>
        <w:spacing w:before="160" w:after="0"/>
      </w:pPr>
      <w:r>
        <w:rPr>
          <w:rFonts w:ascii="Roboto" w:cs="Roboto" w:eastAsia="Roboto" w:hAnsi="Roboto"/>
          <w:color w:val="0F172A"/>
          <w:sz w:val="19"/>
          <w:szCs w:val="19"/>
        </w:rPr>
        <w:t xml:space="preserve"/>
      </w:r>
    </w:p>
    <w:p>
      <w:pPr>
        <w:pStyle w:val="Heading2"/>
        <w:spacing w:before="300" w:after="100"/>
      </w:pPr>
      <w:r>
        <w:rPr>
          <w:rFonts w:ascii="Roboto" w:cs="Roboto" w:eastAsia="Roboto" w:hAnsi="Roboto"/>
          <w:b/>
          <w:bCs/>
          <w:color w:val="0A7373"/>
          <w:sz w:val="28"/>
          <w:szCs w:val="28"/>
        </w:rPr>
        <w:t xml:space="preserve">6.7  AI Readiness</w:t>
      </w:r>
    </w:p>
    <w:p>
      <w:pPr>
        <w:spacing w:before="8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ION does not design AI features now. The architecture is designed so that AI capabilities can be introduced in Year 2 or 3 without requiring structural change. The central Observability Platform owns aggregate signal data across all sectors and all NP Nodes — this is the training corpus for network-level AI models. The NP Node specification includes hooks for AI extensions so participants can plug in domain-specific models when ready.</w:t>
      </w:r>
    </w:p>
    <w:p>
      <w:pPr>
        <w:spacing w:before="8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Potential AI use cases that emerge naturally from this architecture (for future consideration):</w:t>
      </w:r>
    </w:p>
    <w:p>
      <w:pPr>
        <w:spacing w:before="60" w:after="0"/>
      </w:pPr>
      <w:r>
        <w:rPr>
          <w:rFonts w:ascii="Roboto" w:cs="Roboto" w:eastAsia="Roboto" w:hAnsi="Roboto"/>
          <w:color w:val="0F172A"/>
          <w:sz w:val="19"/>
          <w:szCs w:val="19"/>
        </w:rPr>
        <w:t xml:space="preserve"/>
      </w:r>
    </w:p>
    <w:p>
      <w:pPr>
        <w:pStyle w:val="ListParagraph"/>
        <w:numPr>
          <w:ilvl w:val="0"/>
          <w:numId w:val="2"/>
        </w:numPr>
        <w:spacing w:before="40" w:after="55"/>
      </w:pPr>
      <w:r>
        <w:rPr>
          <w:rFonts w:ascii="Roboto" w:cs="Roboto" w:eastAsia="Roboto" w:hAnsi="Roboto"/>
          <w:color w:val="0F172A"/>
          <w:sz w:val="19"/>
          <w:szCs w:val="19"/>
        </w:rPr>
        <w:t xml:space="preserve">Network health AI — anomaly detection across NP performance signals</w:t>
      </w:r>
    </w:p>
    <w:p>
      <w:pPr>
        <w:pStyle w:val="ListParagraph"/>
        <w:numPr>
          <w:ilvl w:val="0"/>
          <w:numId w:val="2"/>
        </w:numPr>
        <w:spacing w:before="40" w:after="55"/>
      </w:pPr>
      <w:r>
        <w:rPr>
          <w:rFonts w:ascii="Roboto" w:cs="Roboto" w:eastAsia="Roboto" w:hAnsi="Roboto"/>
          <w:color w:val="0F172A"/>
          <w:sz w:val="19"/>
          <w:szCs w:val="19"/>
        </w:rPr>
        <w:t xml:space="preserve">Fraud detection — pattern recognition across transaction flows network-wide</w:t>
      </w:r>
    </w:p>
    <w:p>
      <w:pPr>
        <w:pStyle w:val="ListParagraph"/>
        <w:numPr>
          <w:ilvl w:val="0"/>
          <w:numId w:val="2"/>
        </w:numPr>
        <w:spacing w:before="40" w:after="55"/>
      </w:pPr>
      <w:r>
        <w:rPr>
          <w:rFonts w:ascii="Roboto" w:cs="Roboto" w:eastAsia="Roboto" w:hAnsi="Roboto"/>
          <w:color w:val="0F172A"/>
          <w:sz w:val="19"/>
          <w:szCs w:val="19"/>
        </w:rPr>
        <w:t xml:space="preserve">Demand / supply intelligence — aggregate signals reveal supply gaps and demand surges across sectors</w:t>
      </w:r>
    </w:p>
    <w:p>
      <w:pPr>
        <w:pStyle w:val="ListParagraph"/>
        <w:numPr>
          <w:ilvl w:val="0"/>
          <w:numId w:val="2"/>
        </w:numPr>
        <w:spacing w:before="40" w:after="55"/>
      </w:pPr>
      <w:r>
        <w:rPr>
          <w:rFonts w:ascii="Roboto" w:cs="Roboto" w:eastAsia="Roboto" w:hAnsi="Roboto"/>
          <w:color w:val="0F172A"/>
          <w:sz w:val="19"/>
          <w:szCs w:val="19"/>
        </w:rPr>
        <w:t xml:space="preserve">Routing optimisation — AI-assisted smart routing based on NP latency and reliability signals</w:t>
      </w:r>
    </w:p>
    <w:p>
      <w:pPr>
        <w:pStyle w:val="ListParagraph"/>
        <w:numPr>
          <w:ilvl w:val="0"/>
          <w:numId w:val="2"/>
        </w:numPr>
        <w:spacing w:before="40" w:after="55"/>
      </w:pPr>
      <w:r>
        <w:rPr>
          <w:rFonts w:ascii="Roboto" w:cs="Roboto" w:eastAsia="Roboto" w:hAnsi="Roboto"/>
          <w:color w:val="0F172A"/>
          <w:sz w:val="19"/>
          <w:szCs w:val="19"/>
        </w:rPr>
        <w:t xml:space="preserve">Onboarding assistance — AI to help new NPs configure their Plug correctly</w:t>
      </w:r>
    </w:p>
    <w:p>
      <w:pPr>
        <w:spacing w:before="160" w:after="0"/>
      </w:pPr>
      <w:r>
        <w:rPr>
          <w:rFonts w:ascii="Roboto" w:cs="Roboto" w:eastAsia="Roboto" w:hAnsi="Roboto"/>
          <w:color w:val="0F172A"/>
          <w:sz w:val="19"/>
          <w:szCs w:val="19"/>
        </w:rPr>
        <w:t xml:space="preserve"/>
      </w:r>
    </w:p>
    <w:p>
      <w:pPr>
        <w:pStyle w:val="Heading2"/>
        <w:spacing w:before="300" w:after="100"/>
      </w:pPr>
      <w:r>
        <w:rPr>
          <w:rFonts w:ascii="Roboto" w:cs="Roboto" w:eastAsia="Roboto" w:hAnsi="Roboto"/>
          <w:b/>
          <w:bCs/>
          <w:color w:val="0A7373"/>
          <w:sz w:val="28"/>
          <w:szCs w:val="28"/>
        </w:rPr>
        <w:t xml:space="preserve">6.8  Loyalty &amp; Gift Cards</w:t>
      </w:r>
    </w:p>
    <w:p>
      <w:pPr>
        <w:spacing w:before="8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47A00" w:sz="1"/>
              <w:left w:val="single" w:color="C47A00" w:sz="14"/>
              <w:bottom w:val="single" w:color="C47A00" w:sz="1"/>
              <w:right w:val="single" w:color="C47A00" w:sz="1"/>
            </w:tcBorders>
            <w:shd w:fill="FEF6E4" w:val="clear"/>
            <w:tcMar>
              <w:top w:type="dxa" w:w="130"/>
              <w:left w:type="dxa" w:w="220"/>
              <w:bottom w:type="dxa" w:w="130"/>
              <w:right w:type="dxa" w:w="220"/>
            </w:tcMar>
          </w:tcPr>
          <w:p>
            <w:pPr>
              <w:spacing w:after="50"/>
            </w:pPr>
            <w:r>
              <w:rPr>
                <w:rFonts w:ascii="Roboto" w:cs="Roboto" w:eastAsia="Roboto" w:hAnsi="Roboto"/>
                <w:b/>
                <w:bCs/>
                <w:color w:val="C47A00"/>
                <w:sz w:val="19"/>
                <w:szCs w:val="19"/>
              </w:rPr>
              <w:t xml:space="preserve">Status: Policy Decision Required</w:t>
            </w:r>
          </w:p>
          <w:p>
            <w:r>
              <w:rPr>
                <w:rFonts w:ascii="Roboto" w:cs="Roboto" w:eastAsia="Roboto" w:hAnsi="Roboto"/>
                <w:color w:val="0F172A"/>
                <w:sz w:val="19"/>
                <w:szCs w:val="19"/>
              </w:rPr>
              <w:t xml:space="preserve">Loyalty and gift cards are treated as a cross-cutting concern but cannot be fully architected until the following policy decisions are made by ION: (1) Network-native vs participant-native ownership — does ION issue and govern loyalty instruments, or do individual apps run their own? (2) Network portability — are loyalty points and gift cards redeemable across any app on ION, or only within the issuing app? (3) Liability model — who bears the liability for a gift card, and how does redemption settle across parties? Architecture implications touch TLC, Settlement State Machine, Registry, Payment Collection, and Fraud components. To be elaborated subsequently.</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2044" w:sz="1"/>
              <w:left w:val="single" w:color="0F2044" w:sz="1"/>
              <w:bottom w:val="single" w:color="0F2044" w:sz="1"/>
              <w:right w:val="single" w:color="0F2044" w:sz="1"/>
            </w:tcBorders>
            <w:shd w:fill="0F2044" w:val="clear"/>
            <w:tcMar>
              <w:top w:type="dxa" w:w="110"/>
              <w:left w:type="dxa" w:w="240"/>
              <w:bottom w:type="dxa" w:w="110"/>
              <w:right w:type="dxa" w:w="240"/>
            </w:tcMar>
          </w:tcPr>
          <w:p>
            <w:r>
              <w:rPr>
                <w:rFonts w:ascii="Roboto" w:cs="Roboto" w:eastAsia="Roboto" w:hAnsi="Roboto"/>
                <w:b/>
                <w:bCs/>
                <w:color w:val="FFFFFF"/>
                <w:sz w:val="24"/>
                <w:szCs w:val="24"/>
              </w:rPr>
              <w:t xml:space="preserve">7.  ION CORE — OPERATIONAL SCOPE</w:t>
            </w:r>
          </w:p>
        </w:tc>
      </w:tr>
    </w:tbl>
    <w:p>
      <w:pPr>
        <w:spacing w:before="12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ION Core is not just infrastructure — it has active operational functions that require staffing, process design, and ongoing management. The distinction between infrastructure (automated) and operational (human-in-the-loop) is important for ION's team planning.</w:t>
      </w:r>
    </w:p>
    <w:p>
      <w:pPr>
        <w:spacing w:before="12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680"/>
      </w:tblGrid>
      <w:tr>
        <w:tc>
          <w:tcPr>
            <w:tcW w:type="dxa" w:w="28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Component</w:t>
            </w:r>
          </w:p>
        </w:tc>
        <w:tc>
          <w:tcPr>
            <w:tcW w:type="dxa" w:w="16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Type</w:t>
            </w:r>
          </w:p>
        </w:tc>
        <w:tc>
          <w:tcPr>
            <w:tcW w:type="dxa" w:w="568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Operational Implication</w:t>
            </w:r>
          </w:p>
        </w:tc>
      </w:tr>
      <w:tr>
        <w:tc>
          <w:tcPr>
            <w:tcW w:type="dxa" w:w="2800"/>
            <w:tcBorders>
              <w:top w:val="single" w:color="F1F5F9" w:sz="1"/>
              <w:left w:val="single" w:color="F1F5F9" w:sz="1"/>
              <w:bottom w:val="single" w:color="F1F5F9" w:sz="1"/>
              <w:right w:val="single" w:color="F1F5F9" w:sz="1"/>
            </w:tcBorders>
            <w:shd w:fill="F1F5F9" w:val="clear"/>
            <w:tcMar>
              <w:top w:type="dxa" w:w="90"/>
              <w:left w:type="dxa" w:w="140"/>
              <w:bottom w:type="dxa" w:w="90"/>
              <w:right w:type="dxa" w:w="140"/>
            </w:tcMar>
            <w:vAlign w:val="top"/>
          </w:tcPr>
          <w:p>
            <w:r>
              <w:rPr>
                <w:rFonts w:ascii="Roboto" w:cs="Roboto" w:eastAsia="Roboto" w:hAnsi="Roboto"/>
                <w:b/>
                <w:bCs/>
                <w:color w:val="0F2044"/>
                <w:sz w:val="19"/>
                <w:szCs w:val="19"/>
              </w:rPr>
              <w:t xml:space="preserve">Registry</w:t>
            </w:r>
          </w:p>
        </w:tc>
        <w:tc>
          <w:tcPr>
            <w:tcW w:type="dxa" w:w="1600"/>
            <w:tcBorders>
              <w:top w:val="single" w:color="CBD5E1" w:sz="1"/>
              <w:left w:val="single" w:color="CBD5E1" w:sz="1"/>
              <w:bottom w:val="single" w:color="CBD5E1" w:sz="1"/>
              <w:right w:val="single" w:color="CBD5E1" w:sz="1"/>
            </w:tcBorders>
            <w:shd w:fill="FEF6E4" w:val="clear"/>
            <w:tcMar>
              <w:top w:type="dxa" w:w="80"/>
              <w:left w:type="dxa" w:w="100"/>
              <w:bottom w:type="dxa" w:w="80"/>
              <w:right w:type="dxa" w:w="100"/>
            </w:tcMar>
            <w:vAlign w:val="center"/>
          </w:tcPr>
          <w:p>
            <w:pPr>
              <w:jc w:val="center"/>
            </w:pPr>
            <w:r>
              <w:rPr>
                <w:rFonts w:ascii="Roboto" w:cs="Roboto" w:eastAsia="Roboto" w:hAnsi="Roboto"/>
                <w:b/>
                <w:bCs/>
                <w:color w:val="C47A00"/>
                <w:sz w:val="16"/>
                <w:szCs w:val="16"/>
              </w:rPr>
              <w:t xml:space="preserve">Automated + Human</w:t>
            </w:r>
          </w:p>
        </w:tc>
        <w:tc>
          <w:tcPr>
            <w:tcW w:type="dxa" w:w="5680"/>
            <w:tcBorders>
              <w:top w:val="single" w:color="F1F5F9" w:sz="1"/>
              <w:left w:val="single" w:color="F1F5F9" w:sz="1"/>
              <w:bottom w:val="single" w:color="F1F5F9" w:sz="1"/>
              <w:right w:val="single" w:color="F1F5F9" w:sz="1"/>
            </w:tcBorders>
            <w:shd w:fill="F1F5F9"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Automated for standard onboarding. Human review required for edge cases, appeals, and revocations.</w:t>
            </w:r>
          </w:p>
        </w:tc>
      </w:tr>
      <w:tr>
        <w:tc>
          <w:tcPr>
            <w:tcW w:type="dxa" w:w="280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bCs/>
                <w:color w:val="0F2044"/>
                <w:sz w:val="19"/>
                <w:szCs w:val="19"/>
              </w:rPr>
              <w:t xml:space="preserve">Gateway / CDS</w:t>
            </w:r>
          </w:p>
        </w:tc>
        <w:tc>
          <w:tcPr>
            <w:tcW w:type="dxa" w:w="1600"/>
            <w:tcBorders>
              <w:top w:val="single" w:color="CBD5E1" w:sz="1"/>
              <w:left w:val="single" w:color="CBD5E1" w:sz="1"/>
              <w:bottom w:val="single" w:color="CBD5E1" w:sz="1"/>
              <w:right w:val="single" w:color="CBD5E1" w:sz="1"/>
            </w:tcBorders>
            <w:shd w:fill="E8F8EE" w:val="clear"/>
            <w:tcMar>
              <w:top w:type="dxa" w:w="80"/>
              <w:left w:type="dxa" w:w="100"/>
              <w:bottom w:type="dxa" w:w="80"/>
              <w:right w:type="dxa" w:w="100"/>
            </w:tcMar>
            <w:vAlign w:val="center"/>
          </w:tcPr>
          <w:p>
            <w:pPr>
              <w:jc w:val="center"/>
            </w:pPr>
            <w:r>
              <w:rPr>
                <w:rFonts w:ascii="Roboto" w:cs="Roboto" w:eastAsia="Roboto" w:hAnsi="Roboto"/>
                <w:b/>
                <w:bCs/>
                <w:color w:val="1A7A4A"/>
                <w:sz w:val="16"/>
                <w:szCs w:val="16"/>
              </w:rPr>
              <w:t xml:space="preserve">Automated</w:t>
            </w:r>
          </w:p>
        </w:tc>
        <w:tc>
          <w:tcPr>
            <w:tcW w:type="dxa" w:w="568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Routing is automated. Infrastructure managed with Network Infrastructure Partner.</w:t>
            </w:r>
          </w:p>
        </w:tc>
      </w:tr>
      <w:tr>
        <w:tc>
          <w:tcPr>
            <w:tcW w:type="dxa" w:w="2800"/>
            <w:tcBorders>
              <w:top w:val="single" w:color="F1F5F9" w:sz="1"/>
              <w:left w:val="single" w:color="F1F5F9" w:sz="1"/>
              <w:bottom w:val="single" w:color="F1F5F9" w:sz="1"/>
              <w:right w:val="single" w:color="F1F5F9" w:sz="1"/>
            </w:tcBorders>
            <w:shd w:fill="F1F5F9" w:val="clear"/>
            <w:tcMar>
              <w:top w:type="dxa" w:w="90"/>
              <w:left w:type="dxa" w:w="140"/>
              <w:bottom w:type="dxa" w:w="90"/>
              <w:right w:type="dxa" w:w="140"/>
            </w:tcMar>
            <w:vAlign w:val="top"/>
          </w:tcPr>
          <w:p>
            <w:r>
              <w:rPr>
                <w:rFonts w:ascii="Roboto" w:cs="Roboto" w:eastAsia="Roboto" w:hAnsi="Roboto"/>
                <w:b/>
                <w:bCs/>
                <w:color w:val="0F2044"/>
                <w:sz w:val="19"/>
                <w:szCs w:val="19"/>
              </w:rPr>
              <w:t xml:space="preserve">ONIX Ruleset</w:t>
            </w:r>
          </w:p>
        </w:tc>
        <w:tc>
          <w:tcPr>
            <w:tcW w:type="dxa" w:w="1600"/>
            <w:tcBorders>
              <w:top w:val="single" w:color="CBD5E1" w:sz="1"/>
              <w:left w:val="single" w:color="CBD5E1" w:sz="1"/>
              <w:bottom w:val="single" w:color="CBD5E1" w:sz="1"/>
              <w:right w:val="single" w:color="CBD5E1" w:sz="1"/>
            </w:tcBorders>
            <w:shd w:fill="F0EBF8" w:val="clear"/>
            <w:tcMar>
              <w:top w:type="dxa" w:w="80"/>
              <w:left w:type="dxa" w:w="100"/>
              <w:bottom w:type="dxa" w:w="80"/>
              <w:right w:type="dxa" w:w="100"/>
            </w:tcMar>
            <w:vAlign w:val="center"/>
          </w:tcPr>
          <w:p>
            <w:pPr>
              <w:jc w:val="center"/>
            </w:pPr>
            <w:r>
              <w:rPr>
                <w:rFonts w:ascii="Roboto" w:cs="Roboto" w:eastAsia="Roboto" w:hAnsi="Roboto"/>
                <w:b/>
                <w:bCs/>
                <w:color w:val="5B2D8E"/>
                <w:sz w:val="16"/>
                <w:szCs w:val="16"/>
              </w:rPr>
              <w:t xml:space="preserve">Human-authored</w:t>
            </w:r>
          </w:p>
        </w:tc>
        <w:tc>
          <w:tcPr>
            <w:tcW w:type="dxa" w:w="5680"/>
            <w:tcBorders>
              <w:top w:val="single" w:color="F1F5F9" w:sz="1"/>
              <w:left w:val="single" w:color="F1F5F9" w:sz="1"/>
              <w:bottom w:val="single" w:color="F1F5F9" w:sz="1"/>
              <w:right w:val="single" w:color="F1F5F9" w:sz="1"/>
            </w:tcBorders>
            <w:shd w:fill="F1F5F9"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Rules must be authored, reviewed, tested in Sandbox, and versioned by ION technical team before publication.</w:t>
            </w:r>
          </w:p>
        </w:tc>
      </w:tr>
      <w:tr>
        <w:tc>
          <w:tcPr>
            <w:tcW w:type="dxa" w:w="280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bCs/>
                <w:color w:val="0F2044"/>
                <w:sz w:val="19"/>
                <w:szCs w:val="19"/>
              </w:rPr>
              <w:t xml:space="preserve">Static Terms (T1 and T2)</w:t>
            </w:r>
          </w:p>
        </w:tc>
        <w:tc>
          <w:tcPr>
            <w:tcW w:type="dxa" w:w="1600"/>
            <w:tcBorders>
              <w:top w:val="single" w:color="CBD5E1" w:sz="1"/>
              <w:left w:val="single" w:color="CBD5E1" w:sz="1"/>
              <w:bottom w:val="single" w:color="CBD5E1" w:sz="1"/>
              <w:right w:val="single" w:color="CBD5E1" w:sz="1"/>
            </w:tcBorders>
            <w:shd w:fill="F0EBF8" w:val="clear"/>
            <w:tcMar>
              <w:top w:type="dxa" w:w="80"/>
              <w:left w:type="dxa" w:w="100"/>
              <w:bottom w:type="dxa" w:w="80"/>
              <w:right w:type="dxa" w:w="100"/>
            </w:tcMar>
            <w:vAlign w:val="center"/>
          </w:tcPr>
          <w:p>
            <w:pPr>
              <w:jc w:val="center"/>
            </w:pPr>
            <w:r>
              <w:rPr>
                <w:rFonts w:ascii="Roboto" w:cs="Roboto" w:eastAsia="Roboto" w:hAnsi="Roboto"/>
                <w:b/>
                <w:bCs/>
                <w:color w:val="5B2D8E"/>
                <w:sz w:val="16"/>
                <w:szCs w:val="16"/>
              </w:rPr>
              <w:t xml:space="preserve">Human-authored</w:t>
            </w:r>
          </w:p>
        </w:tc>
        <w:tc>
          <w:tcPr>
            <w:tcW w:type="dxa" w:w="568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Legal and policy team must author, review, and version. Legal review required before publication. Sector T2 requires TSP consultation.</w:t>
            </w:r>
          </w:p>
        </w:tc>
      </w:tr>
      <w:tr>
        <w:tc>
          <w:tcPr>
            <w:tcW w:type="dxa" w:w="2800"/>
            <w:tcBorders>
              <w:top w:val="single" w:color="F1F5F9" w:sz="1"/>
              <w:left w:val="single" w:color="F1F5F9" w:sz="1"/>
              <w:bottom w:val="single" w:color="F1F5F9" w:sz="1"/>
              <w:right w:val="single" w:color="F1F5F9" w:sz="1"/>
            </w:tcBorders>
            <w:shd w:fill="F1F5F9" w:val="clear"/>
            <w:tcMar>
              <w:top w:type="dxa" w:w="90"/>
              <w:left w:type="dxa" w:w="140"/>
              <w:bottom w:type="dxa" w:w="90"/>
              <w:right w:type="dxa" w:w="140"/>
            </w:tcMar>
            <w:vAlign w:val="top"/>
          </w:tcPr>
          <w:p>
            <w:r>
              <w:rPr>
                <w:rFonts w:ascii="Roboto" w:cs="Roboto" w:eastAsia="Roboto" w:hAnsi="Roboto"/>
                <w:b/>
                <w:bCs/>
                <w:color w:val="0F2044"/>
                <w:sz w:val="19"/>
                <w:szCs w:val="19"/>
              </w:rPr>
              <w:t xml:space="preserve">TLC Administration</w:t>
            </w:r>
          </w:p>
        </w:tc>
        <w:tc>
          <w:tcPr>
            <w:tcW w:type="dxa" w:w="1600"/>
            <w:tcBorders>
              <w:top w:val="single" w:color="CBD5E1" w:sz="1"/>
              <w:left w:val="single" w:color="CBD5E1" w:sz="1"/>
              <w:bottom w:val="single" w:color="CBD5E1" w:sz="1"/>
              <w:right w:val="single" w:color="CBD5E1" w:sz="1"/>
            </w:tcBorders>
            <w:shd w:fill="FEF6E4" w:val="clear"/>
            <w:tcMar>
              <w:top w:type="dxa" w:w="80"/>
              <w:left w:type="dxa" w:w="100"/>
              <w:bottom w:type="dxa" w:w="80"/>
              <w:right w:type="dxa" w:w="100"/>
            </w:tcMar>
            <w:vAlign w:val="center"/>
          </w:tcPr>
          <w:p>
            <w:pPr>
              <w:jc w:val="center"/>
            </w:pPr>
            <w:r>
              <w:rPr>
                <w:rFonts w:ascii="Roboto" w:cs="Roboto" w:eastAsia="Roboto" w:hAnsi="Roboto"/>
                <w:b/>
                <w:bCs/>
                <w:color w:val="C47A00"/>
                <w:sz w:val="16"/>
                <w:szCs w:val="16"/>
              </w:rPr>
              <w:t xml:space="preserve">Automated + Human</w:t>
            </w:r>
          </w:p>
        </w:tc>
        <w:tc>
          <w:tcPr>
            <w:tcW w:type="dxa" w:w="5680"/>
            <w:tcBorders>
              <w:top w:val="single" w:color="F1F5F9" w:sz="1"/>
              <w:left w:val="single" w:color="F1F5F9" w:sz="1"/>
              <w:bottom w:val="single" w:color="F1F5F9" w:sz="1"/>
              <w:right w:val="single" w:color="F1F5F9" w:sz="1"/>
            </w:tcBorders>
            <w:shd w:fill="F1F5F9"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Rule evaluation is automated. Complex disputes and penalty disputes may require human review before final ruling is issued.</w:t>
            </w:r>
          </w:p>
        </w:tc>
      </w:tr>
      <w:tr>
        <w:tc>
          <w:tcPr>
            <w:tcW w:type="dxa" w:w="280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bCs/>
                <w:color w:val="0F2044"/>
                <w:sz w:val="19"/>
                <w:szCs w:val="19"/>
              </w:rPr>
              <w:t xml:space="preserve">Settlement State Machine</w:t>
            </w:r>
          </w:p>
        </w:tc>
        <w:tc>
          <w:tcPr>
            <w:tcW w:type="dxa" w:w="1600"/>
            <w:tcBorders>
              <w:top w:val="single" w:color="CBD5E1" w:sz="1"/>
              <w:left w:val="single" w:color="CBD5E1" w:sz="1"/>
              <w:bottom w:val="single" w:color="CBD5E1" w:sz="1"/>
              <w:right w:val="single" w:color="CBD5E1" w:sz="1"/>
            </w:tcBorders>
            <w:shd w:fill="E8F8EE" w:val="clear"/>
            <w:tcMar>
              <w:top w:type="dxa" w:w="80"/>
              <w:left w:type="dxa" w:w="100"/>
              <w:bottom w:type="dxa" w:w="80"/>
              <w:right w:type="dxa" w:w="100"/>
            </w:tcMar>
            <w:vAlign w:val="center"/>
          </w:tcPr>
          <w:p>
            <w:pPr>
              <w:jc w:val="center"/>
            </w:pPr>
            <w:r>
              <w:rPr>
                <w:rFonts w:ascii="Roboto" w:cs="Roboto" w:eastAsia="Roboto" w:hAnsi="Roboto"/>
                <w:b/>
                <w:bCs/>
                <w:color w:val="1A7A4A"/>
                <w:sz w:val="16"/>
                <w:szCs w:val="16"/>
              </w:rPr>
              <w:t xml:space="preserve">Automated</w:t>
            </w:r>
          </w:p>
        </w:tc>
        <w:tc>
          <w:tcPr>
            <w:tcW w:type="dxa" w:w="568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Trigger logic is automated against SM states. Exception handling (failed BI-FAST transactions, disputed payouts) requires operational support.</w:t>
            </w:r>
          </w:p>
        </w:tc>
      </w:tr>
      <w:tr>
        <w:tc>
          <w:tcPr>
            <w:tcW w:type="dxa" w:w="2800"/>
            <w:tcBorders>
              <w:top w:val="single" w:color="F1F5F9" w:sz="1"/>
              <w:left w:val="single" w:color="F1F5F9" w:sz="1"/>
              <w:bottom w:val="single" w:color="F1F5F9" w:sz="1"/>
              <w:right w:val="single" w:color="F1F5F9" w:sz="1"/>
            </w:tcBorders>
            <w:shd w:fill="F1F5F9" w:val="clear"/>
            <w:tcMar>
              <w:top w:type="dxa" w:w="90"/>
              <w:left w:type="dxa" w:w="140"/>
              <w:bottom w:type="dxa" w:w="90"/>
              <w:right w:type="dxa" w:w="140"/>
            </w:tcMar>
            <w:vAlign w:val="top"/>
          </w:tcPr>
          <w:p>
            <w:r>
              <w:rPr>
                <w:rFonts w:ascii="Roboto" w:cs="Roboto" w:eastAsia="Roboto" w:hAnsi="Roboto"/>
                <w:b/>
                <w:bCs/>
                <w:color w:val="0F2044"/>
                <w:sz w:val="19"/>
                <w:szCs w:val="19"/>
              </w:rPr>
              <w:t xml:space="preserve">Observability Platform</w:t>
            </w:r>
          </w:p>
        </w:tc>
        <w:tc>
          <w:tcPr>
            <w:tcW w:type="dxa" w:w="1600"/>
            <w:tcBorders>
              <w:top w:val="single" w:color="CBD5E1" w:sz="1"/>
              <w:left w:val="single" w:color="CBD5E1" w:sz="1"/>
              <w:bottom w:val="single" w:color="CBD5E1" w:sz="1"/>
              <w:right w:val="single" w:color="CBD5E1" w:sz="1"/>
            </w:tcBorders>
            <w:shd w:fill="FEF6E4" w:val="clear"/>
            <w:tcMar>
              <w:top w:type="dxa" w:w="80"/>
              <w:left w:type="dxa" w:w="100"/>
              <w:bottom w:type="dxa" w:w="80"/>
              <w:right w:type="dxa" w:w="100"/>
            </w:tcMar>
            <w:vAlign w:val="center"/>
          </w:tcPr>
          <w:p>
            <w:pPr>
              <w:jc w:val="center"/>
            </w:pPr>
            <w:r>
              <w:rPr>
                <w:rFonts w:ascii="Roboto" w:cs="Roboto" w:eastAsia="Roboto" w:hAnsi="Roboto"/>
                <w:b/>
                <w:bCs/>
                <w:color w:val="C47A00"/>
                <w:sz w:val="16"/>
                <w:szCs w:val="16"/>
              </w:rPr>
              <w:t xml:space="preserve">Automated + Human</w:t>
            </w:r>
          </w:p>
        </w:tc>
        <w:tc>
          <w:tcPr>
            <w:tcW w:type="dxa" w:w="5680"/>
            <w:tcBorders>
              <w:top w:val="single" w:color="F1F5F9" w:sz="1"/>
              <w:left w:val="single" w:color="F1F5F9" w:sz="1"/>
              <w:bottom w:val="single" w:color="F1F5F9" w:sz="1"/>
              <w:right w:val="single" w:color="F1F5F9" w:sz="1"/>
            </w:tcBorders>
            <w:shd w:fill="F1F5F9"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Signal ingestion automated. ION Operations team reviews dashboards, responds to anomalies, and initiates proactive interventions.</w:t>
            </w:r>
          </w:p>
        </w:tc>
      </w:tr>
      <w:tr>
        <w:tc>
          <w:tcPr>
            <w:tcW w:type="dxa" w:w="280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bCs/>
                <w:color w:val="0F2044"/>
                <w:sz w:val="19"/>
                <w:szCs w:val="19"/>
              </w:rPr>
              <w:t xml:space="preserve">Grievance L2/L3</w:t>
            </w:r>
          </w:p>
        </w:tc>
        <w:tc>
          <w:tcPr>
            <w:tcW w:type="dxa" w:w="1600"/>
            <w:tcBorders>
              <w:top w:val="single" w:color="CBD5E1" w:sz="1"/>
              <w:left w:val="single" w:color="CBD5E1" w:sz="1"/>
              <w:bottom w:val="single" w:color="CBD5E1" w:sz="1"/>
              <w:right w:val="single" w:color="CBD5E1" w:sz="1"/>
            </w:tcBorders>
            <w:shd w:fill="F0EBF8" w:val="clear"/>
            <w:tcMar>
              <w:top w:type="dxa" w:w="80"/>
              <w:left w:type="dxa" w:w="100"/>
              <w:bottom w:type="dxa" w:w="80"/>
              <w:right w:type="dxa" w:w="100"/>
            </w:tcMar>
            <w:vAlign w:val="center"/>
          </w:tcPr>
          <w:p>
            <w:pPr>
              <w:jc w:val="center"/>
            </w:pPr>
            <w:r>
              <w:rPr>
                <w:rFonts w:ascii="Roboto" w:cs="Roboto" w:eastAsia="Roboto" w:hAnsi="Roboto"/>
                <w:b/>
                <w:bCs/>
                <w:color w:val="5B2D8E"/>
                <w:sz w:val="16"/>
                <w:szCs w:val="16"/>
              </w:rPr>
              <w:t xml:space="preserve">Human-led</w:t>
            </w:r>
          </w:p>
        </w:tc>
        <w:tc>
          <w:tcPr>
            <w:tcW w:type="dxa" w:w="568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Arbitration requires trained ION Operations staff. Supported by structured evidence from the Grievance SM and TLC record.</w:t>
            </w:r>
          </w:p>
        </w:tc>
      </w:tr>
      <w:tr>
        <w:tc>
          <w:tcPr>
            <w:tcW w:type="dxa" w:w="2800"/>
            <w:tcBorders>
              <w:top w:val="single" w:color="F1F5F9" w:sz="1"/>
              <w:left w:val="single" w:color="F1F5F9" w:sz="1"/>
              <w:bottom w:val="single" w:color="F1F5F9" w:sz="1"/>
              <w:right w:val="single" w:color="F1F5F9" w:sz="1"/>
            </w:tcBorders>
            <w:shd w:fill="F1F5F9" w:val="clear"/>
            <w:tcMar>
              <w:top w:type="dxa" w:w="90"/>
              <w:left w:type="dxa" w:w="140"/>
              <w:bottom w:type="dxa" w:w="90"/>
              <w:right w:type="dxa" w:w="140"/>
            </w:tcMar>
            <w:vAlign w:val="top"/>
          </w:tcPr>
          <w:p>
            <w:r>
              <w:rPr>
                <w:rFonts w:ascii="Roboto" w:cs="Roboto" w:eastAsia="Roboto" w:hAnsi="Roboto"/>
                <w:b/>
                <w:bCs/>
                <w:color w:val="0F2044"/>
                <w:sz w:val="19"/>
                <w:szCs w:val="19"/>
              </w:rPr>
              <w:t xml:space="preserve">Network Policy Engine</w:t>
            </w:r>
          </w:p>
        </w:tc>
        <w:tc>
          <w:tcPr>
            <w:tcW w:type="dxa" w:w="1600"/>
            <w:tcBorders>
              <w:top w:val="single" w:color="CBD5E1" w:sz="1"/>
              <w:left w:val="single" w:color="CBD5E1" w:sz="1"/>
              <w:bottom w:val="single" w:color="CBD5E1" w:sz="1"/>
              <w:right w:val="single" w:color="CBD5E1" w:sz="1"/>
            </w:tcBorders>
            <w:shd w:fill="F0EBF8" w:val="clear"/>
            <w:tcMar>
              <w:top w:type="dxa" w:w="80"/>
              <w:left w:type="dxa" w:w="100"/>
              <w:bottom w:type="dxa" w:w="80"/>
              <w:right w:type="dxa" w:w="100"/>
            </w:tcMar>
            <w:vAlign w:val="center"/>
          </w:tcPr>
          <w:p>
            <w:pPr>
              <w:jc w:val="center"/>
            </w:pPr>
            <w:r>
              <w:rPr>
                <w:rFonts w:ascii="Roboto" w:cs="Roboto" w:eastAsia="Roboto" w:hAnsi="Roboto"/>
                <w:b/>
                <w:bCs/>
                <w:color w:val="5B2D8E"/>
                <w:sz w:val="16"/>
                <w:szCs w:val="16"/>
              </w:rPr>
              <w:t xml:space="preserve">Human-authored</w:t>
            </w:r>
          </w:p>
        </w:tc>
        <w:tc>
          <w:tcPr>
            <w:tcW w:type="dxa" w:w="5680"/>
            <w:tcBorders>
              <w:top w:val="single" w:color="F1F5F9" w:sz="1"/>
              <w:left w:val="single" w:color="F1F5F9" w:sz="1"/>
              <w:bottom w:val="single" w:color="F1F5F9" w:sz="1"/>
              <w:right w:val="single" w:color="F1F5F9" w:sz="1"/>
            </w:tcBorders>
            <w:shd w:fill="F1F5F9"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Policy rules authored by ION governance team. Automated enforcement. Human decision required for participant suspension or revocation.</w:t>
            </w:r>
          </w:p>
        </w:tc>
      </w:tr>
      <w:tr>
        <w:tc>
          <w:tcPr>
            <w:tcW w:type="dxa" w:w="280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bCs/>
                <w:color w:val="0F2044"/>
                <w:sz w:val="19"/>
                <w:szCs w:val="19"/>
              </w:rPr>
              <w:t xml:space="preserve">Translation Service</w:t>
            </w:r>
          </w:p>
        </w:tc>
        <w:tc>
          <w:tcPr>
            <w:tcW w:type="dxa" w:w="1600"/>
            <w:tcBorders>
              <w:top w:val="single" w:color="CBD5E1" w:sz="1"/>
              <w:left w:val="single" w:color="CBD5E1" w:sz="1"/>
              <w:bottom w:val="single" w:color="CBD5E1" w:sz="1"/>
              <w:right w:val="single" w:color="CBD5E1" w:sz="1"/>
            </w:tcBorders>
            <w:shd w:fill="FEF6E4" w:val="clear"/>
            <w:tcMar>
              <w:top w:type="dxa" w:w="80"/>
              <w:left w:type="dxa" w:w="100"/>
              <w:bottom w:type="dxa" w:w="80"/>
              <w:right w:type="dxa" w:w="100"/>
            </w:tcMar>
            <w:vAlign w:val="center"/>
          </w:tcPr>
          <w:p>
            <w:pPr>
              <w:jc w:val="center"/>
            </w:pPr>
            <w:r>
              <w:rPr>
                <w:rFonts w:ascii="Roboto" w:cs="Roboto" w:eastAsia="Roboto" w:hAnsi="Roboto"/>
                <w:b/>
                <w:bCs/>
                <w:color w:val="C47A00"/>
                <w:sz w:val="16"/>
                <w:szCs w:val="16"/>
              </w:rPr>
              <w:t xml:space="preserve">Automated + Human</w:t>
            </w:r>
          </w:p>
        </w:tc>
        <w:tc>
          <w:tcPr>
            <w:tcW w:type="dxa" w:w="568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Automated for standard glossary terms. Human review required when new terms are added to the glossary or when translation ambiguity arises in a dispute.</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2044" w:sz="1"/>
              <w:left w:val="single" w:color="0F2044" w:sz="1"/>
              <w:bottom w:val="single" w:color="0F2044" w:sz="1"/>
              <w:right w:val="single" w:color="0F2044" w:sz="1"/>
            </w:tcBorders>
            <w:shd w:fill="0F2044" w:val="clear"/>
            <w:tcMar>
              <w:top w:type="dxa" w:w="110"/>
              <w:left w:type="dxa" w:w="240"/>
              <w:bottom w:type="dxa" w:w="110"/>
              <w:right w:type="dxa" w:w="240"/>
            </w:tcMar>
          </w:tcPr>
          <w:p>
            <w:r>
              <w:rPr>
                <w:rFonts w:ascii="Roboto" w:cs="Roboto" w:eastAsia="Roboto" w:hAnsi="Roboto"/>
                <w:b/>
                <w:bCs/>
                <w:color w:val="FFFFFF"/>
                <w:sz w:val="24"/>
                <w:szCs w:val="24"/>
              </w:rPr>
              <w:t xml:space="preserve">8.  NP NODE &amp; ION PLUG SPECIFICATION</w:t>
            </w:r>
          </w:p>
        </w:tc>
      </w:tr>
    </w:tbl>
    <w:p>
      <w:pPr>
        <w:spacing w:before="12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The ION Plug is the standardised NP Node package that ION defines and distributes. It is the boundary of ION's responsibility — everything the Plug provides is ION-governed. Everything above the Plug (application logic, UX, business workflows, sector-specific features) is the NP's or TSP's responsibility.</w:t>
      </w:r>
    </w:p>
    <w:p>
      <w:pPr>
        <w:spacing w:before="8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A7373" w:sz="1"/>
              <w:left w:val="single" w:color="0A7373" w:sz="14"/>
              <w:bottom w:val="single" w:color="0A7373" w:sz="1"/>
              <w:right w:val="single" w:color="0A7373" w:sz="1"/>
            </w:tcBorders>
            <w:shd w:fill="E6F4F4" w:val="clear"/>
            <w:tcMar>
              <w:top w:type="dxa" w:w="130"/>
              <w:left w:type="dxa" w:w="220"/>
              <w:bottom w:type="dxa" w:w="130"/>
              <w:right w:type="dxa" w:w="220"/>
            </w:tcMar>
          </w:tcPr>
          <w:p>
            <w:pPr>
              <w:spacing w:after="50"/>
            </w:pPr>
            <w:r>
              <w:rPr>
                <w:rFonts w:ascii="Roboto" w:cs="Roboto" w:eastAsia="Roboto" w:hAnsi="Roboto"/>
                <w:b/>
                <w:bCs/>
                <w:color w:val="0A7373"/>
                <w:sz w:val="19"/>
                <w:szCs w:val="19"/>
              </w:rPr>
              <w:t xml:space="preserve">The Plug Boundary</w:t>
            </w:r>
          </w:p>
          <w:p>
            <w:r>
              <w:rPr>
                <w:rFonts w:ascii="Roboto" w:cs="Roboto" w:eastAsia="Roboto" w:hAnsi="Roboto"/>
                <w:color w:val="0F172A"/>
                <w:sz w:val="19"/>
                <w:szCs w:val="19"/>
              </w:rPr>
              <w:t xml:space="preserve">ION defines and distributes the Plug. NPs and TSPs deploy it. TSPs may offer hosted Plug services to NPs who lack the technical capacity to self-host — this is a valid implementation choice and does not change the architectural boundary. The Plug specification is one codebase with sector-specific configuration profiles, not separate codebases per sector.</w:t>
            </w:r>
          </w:p>
        </w:tc>
      </w:tr>
    </w:tbl>
    <w:p>
      <w:pPr>
        <w:spacing w:before="120" w:after="0"/>
      </w:pPr>
      <w:r>
        <w:rPr>
          <w:rFonts w:ascii="Roboto" w:cs="Roboto" w:eastAsia="Roboto" w:hAnsi="Roboto"/>
          <w:color w:val="0F172A"/>
          <w:sz w:val="19"/>
          <w:szCs w:val="19"/>
        </w:rPr>
        <w:t xml:space="preserve"/>
      </w:r>
    </w:p>
    <w:p>
      <w:pPr>
        <w:pStyle w:val="Heading2"/>
        <w:spacing w:before="300" w:after="100"/>
      </w:pPr>
      <w:r>
        <w:rPr>
          <w:rFonts w:ascii="Roboto" w:cs="Roboto" w:eastAsia="Roboto" w:hAnsi="Roboto"/>
          <w:b/>
          <w:bCs/>
          <w:color w:val="0A7373"/>
          <w:sz w:val="28"/>
          <w:szCs w:val="28"/>
        </w:rPr>
        <w:t xml:space="preserve">8.1  Mandatory Plug Components</w:t>
      </w:r>
    </w:p>
    <w:p>
      <w:pPr>
        <w:spacing w:before="8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Every ION Plug deployment, regardless of sector, must include the following components:</w:t>
      </w:r>
    </w:p>
    <w:p>
      <w:pPr>
        <w:spacing w:before="8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Component</w:t>
            </w:r>
          </w:p>
        </w:tc>
        <w:tc>
          <w:tcPr>
            <w:tcW w:type="dxa" w:w="748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What It Provides</w:t>
            </w:r>
          </w:p>
        </w:tc>
      </w:tr>
      <w:tr>
        <w:tc>
          <w:tcPr>
            <w:tcW w:type="dxa" w:w="260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bCs/>
                <w:color w:val="0A7373"/>
                <w:sz w:val="19"/>
                <w:szCs w:val="19"/>
              </w:rPr>
              <w:t xml:space="preserve">ONIX Execution Engine</w:t>
            </w:r>
          </w:p>
        </w:tc>
        <w:tc>
          <w:tcPr>
            <w:tcW w:type="dxa" w:w="748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Validates all inbound and outbound messages against ION-published ONIX rules. Rejects non-compliant messages before they reach the network.</w:t>
            </w:r>
          </w:p>
        </w:tc>
      </w:tr>
      <w:tr>
        <w:tc>
          <w:tcPr>
            <w:tcW w:type="dxa" w:w="260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bCs/>
                <w:color w:val="0A7373"/>
                <w:sz w:val="19"/>
                <w:szCs w:val="19"/>
              </w:rPr>
              <w:t xml:space="preserve">Registry Client</w:t>
            </w:r>
          </w:p>
        </w:tc>
        <w:tc>
          <w:tcPr>
            <w:tcW w:type="dxa" w:w="748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Manages participant credentials. Signs all outbound messages. Verifies signatures on all inbound messages.</w:t>
            </w:r>
          </w:p>
        </w:tc>
      </w:tr>
      <w:tr>
        <w:tc>
          <w:tcPr>
            <w:tcW w:type="dxa" w:w="260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bCs/>
                <w:color w:val="0A7373"/>
                <w:sz w:val="19"/>
                <w:szCs w:val="19"/>
              </w:rPr>
              <w:t xml:space="preserve">Gateway Connector</w:t>
            </w:r>
          </w:p>
        </w:tc>
        <w:tc>
          <w:tcPr>
            <w:tcW w:type="dxa" w:w="748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Routes messages to and from ION Core Gateway. Handles connection management, retry logic, and message queuing.</w:t>
            </w:r>
          </w:p>
        </w:tc>
      </w:tr>
      <w:tr>
        <w:tc>
          <w:tcPr>
            <w:tcW w:type="dxa" w:w="260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bCs/>
                <w:color w:val="0A7373"/>
                <w:sz w:val="19"/>
                <w:szCs w:val="19"/>
              </w:rPr>
              <w:t xml:space="preserve">Signal Telemetry Agent</w:t>
            </w:r>
          </w:p>
        </w:tc>
        <w:tc>
          <w:tcPr>
            <w:tcW w:type="dxa" w:w="748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Emits structured signal telemetry to the central Observability Platform. Configurable signal schema. No payload data transmitted.</w:t>
            </w:r>
          </w:p>
        </w:tc>
      </w:tr>
      <w:tr>
        <w:tc>
          <w:tcPr>
            <w:tcW w:type="dxa" w:w="260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bCs/>
                <w:color w:val="0A7373"/>
                <w:sz w:val="19"/>
                <w:szCs w:val="19"/>
              </w:rPr>
              <w:t xml:space="preserve">State Machine Runtime</w:t>
            </w:r>
          </w:p>
        </w:tc>
        <w:tc>
          <w:tcPr>
            <w:tcW w:type="dxa" w:w="748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Hosts instances of the Order, Fulfillment, and Modification State Machines. Enforces ION-defined state schemas and transition rules.</w:t>
            </w:r>
          </w:p>
        </w:tc>
      </w:tr>
      <w:tr>
        <w:tc>
          <w:tcPr>
            <w:tcW w:type="dxa" w:w="260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bCs/>
                <w:color w:val="0A7373"/>
                <w:sz w:val="19"/>
                <w:szCs w:val="19"/>
              </w:rPr>
              <w:t xml:space="preserve">TLC Client</w:t>
            </w:r>
          </w:p>
        </w:tc>
        <w:tc>
          <w:tcPr>
            <w:tcW w:type="dxa" w:w="748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Communicates with ION Core TLC Administration for contract creation, modification validation, and ruling retrieval.</w:t>
            </w:r>
          </w:p>
        </w:tc>
      </w:tr>
      <w:tr>
        <w:tc>
          <w:tcPr>
            <w:tcW w:type="dxa" w:w="260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bCs/>
                <w:color w:val="0A7373"/>
                <w:sz w:val="19"/>
                <w:szCs w:val="19"/>
              </w:rPr>
              <w:t xml:space="preserve">Notification Handler</w:t>
            </w:r>
          </w:p>
        </w:tc>
        <w:tc>
          <w:tcPr>
            <w:tcW w:type="dxa" w:w="7480"/>
            <w:tcBorders>
              <w:top w:val="single" w:color="E6F4F4" w:sz="1"/>
              <w:left w:val="single" w:color="E6F4F4" w:sz="1"/>
              <w:bottom w:val="single" w:color="E6F4F4" w:sz="1"/>
              <w:right w:val="single" w:color="E6F4F4" w:sz="1"/>
            </w:tcBorders>
            <w:shd w:fill="E6F4F4"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Receives and routes inbound event notifications from the Notification &amp; Event Bus.</w:t>
            </w:r>
          </w:p>
        </w:tc>
      </w:tr>
      <w:tr>
        <w:tc>
          <w:tcPr>
            <w:tcW w:type="dxa" w:w="260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bCs/>
                <w:color w:val="0A7373"/>
                <w:sz w:val="19"/>
                <w:szCs w:val="19"/>
              </w:rPr>
              <w:t xml:space="preserve">IGM L1 Handler</w:t>
            </w:r>
          </w:p>
        </w:tc>
        <w:tc>
          <w:tcPr>
            <w:tcW w:type="dxa" w:w="7480"/>
            <w:tcBorders>
              <w:top w:val="single" w:color="FFFFFF" w:sz="1"/>
              <w:left w:val="single" w:color="FFFFFF" w:sz="1"/>
              <w:bottom w:val="single" w:color="FFFFFF" w:sz="1"/>
              <w:right w:val="single" w:color="FFFFFF" w:sz="1"/>
            </w:tcBorders>
            <w:shd w:fill="FFFFFF"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Manages L1 grievance flows per ION-defined schema. Escalates to ION Core L2/L3 when resolution window expires.</w:t>
            </w:r>
          </w:p>
        </w:tc>
      </w:tr>
    </w:tbl>
    <w:p>
      <w:pPr>
        <w:spacing w:before="160" w:after="0"/>
      </w:pPr>
      <w:r>
        <w:rPr>
          <w:rFonts w:ascii="Roboto" w:cs="Roboto" w:eastAsia="Roboto" w:hAnsi="Roboto"/>
          <w:color w:val="0F172A"/>
          <w:sz w:val="19"/>
          <w:szCs w:val="19"/>
        </w:rPr>
        <w:t xml:space="preserve"/>
      </w:r>
    </w:p>
    <w:p>
      <w:pPr>
        <w:pStyle w:val="Heading2"/>
        <w:spacing w:before="300" w:after="100"/>
      </w:pPr>
      <w:r>
        <w:rPr>
          <w:rFonts w:ascii="Roboto" w:cs="Roboto" w:eastAsia="Roboto" w:hAnsi="Roboto"/>
          <w:b/>
          <w:bCs/>
          <w:color w:val="0A7373"/>
          <w:sz w:val="28"/>
          <w:szCs w:val="28"/>
        </w:rPr>
        <w:t xml:space="preserve">8.2  Optional Plug Extensions (Sector-Configured)</w:t>
      </w:r>
    </w:p>
    <w:p>
      <w:pPr>
        <w:spacing w:before="8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The following components are included in the Plug as optional modules, activated by sector-specific configuration profiles:</w:t>
      </w:r>
    </w:p>
    <w:p>
      <w:pPr>
        <w:spacing w:before="80" w:after="0"/>
      </w:pPr>
      <w:r>
        <w:rPr>
          <w:rFonts w:ascii="Roboto" w:cs="Roboto" w:eastAsia="Roboto" w:hAnsi="Roboto"/>
          <w:color w:val="0F172A"/>
          <w:sz w:val="19"/>
          <w:szCs w:val="19"/>
        </w:rPr>
        <w:t xml:space="preserve"/>
      </w:r>
    </w:p>
    <w:p>
      <w:pPr>
        <w:pStyle w:val="ListParagraph"/>
        <w:numPr>
          <w:ilvl w:val="0"/>
          <w:numId w:val="2"/>
        </w:numPr>
        <w:spacing w:before="40" w:after="55"/>
      </w:pPr>
      <w:r>
        <w:rPr>
          <w:rFonts w:ascii="Roboto" w:cs="Roboto" w:eastAsia="Roboto" w:hAnsi="Roboto"/>
          <w:color w:val="0F172A"/>
          <w:sz w:val="19"/>
          <w:szCs w:val="19"/>
        </w:rPr>
        <w:t xml:space="preserve">Pre-select Quote / Cache Engine — activated for SNP nodes in retail and other catalogue-driven sectors</w:t>
      </w:r>
    </w:p>
    <w:p>
      <w:pPr>
        <w:pStyle w:val="ListParagraph"/>
        <w:numPr>
          <w:ilvl w:val="0"/>
          <w:numId w:val="2"/>
        </w:numPr>
        <w:spacing w:before="40" w:after="55"/>
      </w:pPr>
      <w:r>
        <w:rPr>
          <w:rFonts w:ascii="Roboto" w:cs="Roboto" w:eastAsia="Roboto" w:hAnsi="Roboto"/>
          <w:color w:val="0F172A"/>
          <w:sz w:val="19"/>
          <w:szCs w:val="19"/>
        </w:rPr>
        <w:t xml:space="preserve">Catalogue Management Module — activated for SNP nodes; includes static, real-time, and rules layers</w:t>
      </w:r>
    </w:p>
    <w:p>
      <w:pPr>
        <w:pStyle w:val="ListParagraph"/>
        <w:numPr>
          <w:ilvl w:val="0"/>
          <w:numId w:val="2"/>
        </w:numPr>
        <w:spacing w:before="40" w:after="55"/>
      </w:pPr>
      <w:r>
        <w:rPr>
          <w:rFonts w:ascii="Roboto" w:cs="Roboto" w:eastAsia="Roboto" w:hAnsi="Roboto"/>
          <w:color w:val="0F172A"/>
          <w:sz w:val="19"/>
          <w:szCs w:val="19"/>
        </w:rPr>
        <w:t xml:space="preserve">Payment Collection &amp; Escrow Module — activated for NPs handling payment collection</w:t>
      </w:r>
    </w:p>
    <w:p>
      <w:pPr>
        <w:pStyle w:val="ListParagraph"/>
        <w:numPr>
          <w:ilvl w:val="0"/>
          <w:numId w:val="2"/>
        </w:numPr>
        <w:spacing w:before="40" w:after="55"/>
      </w:pPr>
      <w:r>
        <w:rPr>
          <w:rFonts w:ascii="Roboto" w:cs="Roboto" w:eastAsia="Roboto" w:hAnsi="Roboto"/>
          <w:color w:val="0F172A"/>
          <w:sz w:val="19"/>
          <w:szCs w:val="19"/>
        </w:rPr>
        <w:t xml:space="preserve">Order-Scoped Communication Module — activated for sectors requiring multi-party communication during fulfillment</w:t>
      </w:r>
    </w:p>
    <w:p>
      <w:pPr>
        <w:pStyle w:val="ListParagraph"/>
        <w:numPr>
          <w:ilvl w:val="0"/>
          <w:numId w:val="2"/>
        </w:numPr>
        <w:spacing w:before="40" w:after="55"/>
      </w:pPr>
      <w:r>
        <w:rPr>
          <w:rFonts w:ascii="Roboto" w:cs="Roboto" w:eastAsia="Roboto" w:hAnsi="Roboto"/>
          <w:color w:val="0F172A"/>
          <w:sz w:val="19"/>
          <w:szCs w:val="19"/>
        </w:rPr>
        <w:t xml:space="preserve">AI Extension Hooks — placeholder interfaces for future domain-specific AI model integration</w:t>
      </w:r>
    </w:p>
    <w:p>
      <w:pPr>
        <w:spacing w:before="16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47A00" w:sz="1"/>
              <w:left w:val="single" w:color="C47A00" w:sz="14"/>
              <w:bottom w:val="single" w:color="C47A00" w:sz="1"/>
              <w:right w:val="single" w:color="C47A00" w:sz="1"/>
            </w:tcBorders>
            <w:shd w:fill="FEF6E4" w:val="clear"/>
            <w:tcMar>
              <w:top w:type="dxa" w:w="130"/>
              <w:left w:type="dxa" w:w="220"/>
              <w:bottom w:type="dxa" w:w="130"/>
              <w:right w:type="dxa" w:w="220"/>
            </w:tcMar>
          </w:tcPr>
          <w:p>
            <w:pPr>
              <w:spacing w:after="50"/>
            </w:pPr>
            <w:r>
              <w:rPr>
                <w:rFonts w:ascii="Roboto" w:cs="Roboto" w:eastAsia="Roboto" w:hAnsi="Roboto"/>
                <w:b/>
                <w:bCs/>
                <w:color w:val="C47A00"/>
                <w:sz w:val="19"/>
                <w:szCs w:val="19"/>
              </w:rPr>
              <w:t xml:space="preserve">Open: Full NP Node Specification</w:t>
            </w:r>
          </w:p>
          <w:p>
            <w:r>
              <w:rPr>
                <w:rFonts w:ascii="Roboto" w:cs="Roboto" w:eastAsia="Roboto" w:hAnsi="Roboto"/>
                <w:color w:val="0F172A"/>
                <w:sz w:val="19"/>
                <w:szCs w:val="19"/>
              </w:rPr>
              <w:t xml:space="preserve">The detailed NP Node specification — exact API interfaces, configuration schema, mandatory vs optional module list, update management protocol, and certification test suite — is an open work item. This section establishes the boundary and the mandatory component list. The full specification will be developed as a companion document by the ION technical team in consultation with sector anchor TSPs.</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2044" w:sz="1"/>
              <w:left w:val="single" w:color="0F2044" w:sz="1"/>
              <w:bottom w:val="single" w:color="0F2044" w:sz="1"/>
              <w:right w:val="single" w:color="0F2044" w:sz="1"/>
            </w:tcBorders>
            <w:shd w:fill="0F2044" w:val="clear"/>
            <w:tcMar>
              <w:top w:type="dxa" w:w="110"/>
              <w:left w:type="dxa" w:w="240"/>
              <w:bottom w:type="dxa" w:w="110"/>
              <w:right w:type="dxa" w:w="240"/>
            </w:tcMar>
          </w:tcPr>
          <w:p>
            <w:r>
              <w:rPr>
                <w:rFonts w:ascii="Roboto" w:cs="Roboto" w:eastAsia="Roboto" w:hAnsi="Roboto"/>
                <w:b/>
                <w:bCs/>
                <w:color w:val="FFFFFF"/>
                <w:sz w:val="24"/>
                <w:szCs w:val="24"/>
              </w:rPr>
              <w:t xml:space="preserve">9.  OPEN QUESTIONS &amp; DECISIONS REQUIRED</w:t>
            </w:r>
          </w:p>
        </w:tc>
      </w:tr>
    </w:tbl>
    <w:p>
      <w:pPr>
        <w:spacing w:before="120" w:after="0"/>
      </w:pPr>
      <w:r>
        <w:rPr>
          <w:rFonts w:ascii="Roboto" w:cs="Roboto" w:eastAsia="Roboto" w:hAnsi="Roboto"/>
          <w:color w:val="0F172A"/>
          <w:sz w:val="19"/>
          <w:szCs w:val="19"/>
        </w:rPr>
        <w:t xml:space="preserve"/>
      </w:r>
    </w:p>
    <w:p>
      <w:pPr>
        <w:spacing w:before="60" w:after="110"/>
        <w:jc w:val="left"/>
      </w:pPr>
      <w:r>
        <w:rPr>
          <w:rFonts w:ascii="Roboto" w:cs="Roboto" w:eastAsia="Roboto" w:hAnsi="Roboto"/>
          <w:color w:val="0F172A"/>
          <w:sz w:val="19"/>
          <w:szCs w:val="19"/>
        </w:rPr>
        <w:t xml:space="preserve">The following items require explicit decisions before architecture or implementation can proceed in those areas. They are flagged here so that the right stakeholders can prioritise and resolve them. No item in this list should be resolved by implementation default.</w:t>
      </w:r>
    </w:p>
    <w:p>
      <w:pPr>
        <w:spacing w:before="12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60"/>
        <w:gridCol w:w="6520"/>
      </w:tblGrid>
      <w:tr>
        <w:tc>
          <w:tcPr>
            <w:tcW w:type="dxa" w:w="28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Open Question</w:t>
            </w:r>
          </w:p>
        </w:tc>
        <w:tc>
          <w:tcPr>
            <w:tcW w:type="dxa" w:w="76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Priority</w:t>
            </w:r>
          </w:p>
        </w:tc>
        <w:tc>
          <w:tcPr>
            <w:tcW w:type="dxa" w:w="652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Detail</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Roboto" w:cs="Roboto" w:eastAsia="Roboto" w:hAnsi="Roboto"/>
                <w:b/>
                <w:bCs/>
                <w:color w:val="0F172A"/>
                <w:sz w:val="19"/>
                <w:szCs w:val="19"/>
              </w:rPr>
              <w:t xml:space="preserve">Full NP Node / Plug Specification</w:t>
            </w:r>
          </w:p>
        </w:tc>
        <w:tc>
          <w:tcPr>
            <w:tcW w:type="dxa" w:w="760"/>
            <w:tcBorders>
              <w:top w:val="single" w:color="C0392B" w:sz="1"/>
              <w:left w:val="single" w:color="C0392B" w:sz="1"/>
              <w:bottom w:val="single" w:color="C0392B" w:sz="1"/>
              <w:right w:val="single" w:color="C0392B" w:sz="1"/>
            </w:tcBorders>
            <w:shd w:fill="C0392B"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High</w:t>
            </w:r>
          </w:p>
        </w:tc>
        <w:tc>
          <w:tcPr>
            <w:tcW w:type="dxa" w:w="65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color w:val="0F172A"/>
                <w:sz w:val="19"/>
                <w:szCs w:val="19"/>
              </w:rPr>
              <w:t xml:space="preserve">Exact API interfaces, configuration schema, mandatory vs optional module definitions, certification test suite, and update management protocol. Required before TSPs can begin Plug integration.</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Roboto" w:cs="Roboto" w:eastAsia="Roboto" w:hAnsi="Roboto"/>
                <w:b/>
                <w:bCs/>
                <w:color w:val="0F172A"/>
                <w:sz w:val="19"/>
                <w:szCs w:val="19"/>
              </w:rPr>
              <w:t xml:space="preserve">TLC Authoritative Language Policy</w:t>
            </w:r>
          </w:p>
        </w:tc>
        <w:tc>
          <w:tcPr>
            <w:tcW w:type="dxa" w:w="760"/>
            <w:tcBorders>
              <w:top w:val="single" w:color="C0392B" w:sz="1"/>
              <w:left w:val="single" w:color="C0392B" w:sz="1"/>
              <w:bottom w:val="single" w:color="C0392B" w:sz="1"/>
              <w:right w:val="single" w:color="C0392B" w:sz="1"/>
            </w:tcBorders>
            <w:shd w:fill="C0392B"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High</w:t>
            </w:r>
          </w:p>
        </w:tc>
        <w:tc>
          <w:tcPr>
            <w:tcW w:type="dxa" w:w="65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color w:val="0F172A"/>
                <w:sz w:val="19"/>
                <w:szCs w:val="19"/>
              </w:rPr>
              <w:t xml:space="preserve">Bahasa Indonesia recommended as legally binding language for TLC contract records. Must be an explicit network policy decision, not an implementation default. Affects all dispute arbitration and contract term interpretation.</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Roboto" w:cs="Roboto" w:eastAsia="Roboto" w:hAnsi="Roboto"/>
                <w:b/>
                <w:bCs/>
                <w:color w:val="0F172A"/>
                <w:sz w:val="19"/>
                <w:szCs w:val="19"/>
              </w:rPr>
              <w:t xml:space="preserve">Governance Enforcement Model</w:t>
            </w:r>
          </w:p>
        </w:tc>
        <w:tc>
          <w:tcPr>
            <w:tcW w:type="dxa" w:w="760"/>
            <w:tcBorders>
              <w:top w:val="single" w:color="C0392B" w:sz="1"/>
              <w:left w:val="single" w:color="C0392B" w:sz="1"/>
              <w:bottom w:val="single" w:color="C0392B" w:sz="1"/>
              <w:right w:val="single" w:color="C0392B" w:sz="1"/>
            </w:tcBorders>
            <w:shd w:fill="C0392B"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High</w:t>
            </w:r>
          </w:p>
        </w:tc>
        <w:tc>
          <w:tcPr>
            <w:tcW w:type="dxa" w:w="65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color w:val="0F172A"/>
                <w:sz w:val="19"/>
                <w:szCs w:val="19"/>
              </w:rPr>
              <w:t xml:space="preserve">Explicit policy definition required for: signal monitoring thresholds that trigger intervention, certification revocation criteria, participant suspension and appeal process, and the governance of the Network Policy Engine itself.</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Roboto" w:cs="Roboto" w:eastAsia="Roboto" w:hAnsi="Roboto"/>
                <w:b/>
                <w:bCs/>
                <w:color w:val="0F172A"/>
                <w:sz w:val="19"/>
                <w:szCs w:val="19"/>
              </w:rPr>
              <w:t xml:space="preserve">Indonesian Regulatory Requirements</w:t>
            </w:r>
          </w:p>
        </w:tc>
        <w:tc>
          <w:tcPr>
            <w:tcW w:type="dxa" w:w="760"/>
            <w:tcBorders>
              <w:top w:val="single" w:color="C0392B" w:sz="1"/>
              <w:left w:val="single" w:color="C0392B" w:sz="1"/>
              <w:bottom w:val="single" w:color="C0392B" w:sz="1"/>
              <w:right w:val="single" w:color="C0392B" w:sz="1"/>
            </w:tcBorders>
            <w:shd w:fill="C0392B"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High</w:t>
            </w:r>
          </w:p>
        </w:tc>
        <w:tc>
          <w:tcPr>
            <w:tcW w:type="dxa" w:w="65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color w:val="0F172A"/>
                <w:sz w:val="19"/>
                <w:szCs w:val="19"/>
              </w:rPr>
              <w:t xml:space="preserve">Specific OJK and Kominfo requirements the architecture must accommodate: data localisation obligations, financial transaction reporting, consumer protection mandates, and open network regulatory status.</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Roboto" w:cs="Roboto" w:eastAsia="Roboto" w:hAnsi="Roboto"/>
                <w:b/>
                <w:bCs/>
                <w:color w:val="0F172A"/>
                <w:sz w:val="19"/>
                <w:szCs w:val="19"/>
              </w:rPr>
              <w:t xml:space="preserve">Sector Static Terms (Tier 2) — Authorship</w:t>
            </w:r>
          </w:p>
        </w:tc>
        <w:tc>
          <w:tcPr>
            <w:tcW w:type="dxa" w:w="760"/>
            <w:tcBorders>
              <w:top w:val="single" w:color="C0392B" w:sz="1"/>
              <w:left w:val="single" w:color="C0392B" w:sz="1"/>
              <w:bottom w:val="single" w:color="C0392B" w:sz="1"/>
              <w:right w:val="single" w:color="C0392B" w:sz="1"/>
            </w:tcBorders>
            <w:shd w:fill="C0392B"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High</w:t>
            </w:r>
          </w:p>
        </w:tc>
        <w:tc>
          <w:tcPr>
            <w:tcW w:type="dxa" w:w="65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color w:val="0F172A"/>
                <w:sz w:val="19"/>
                <w:szCs w:val="19"/>
              </w:rPr>
              <w:t xml:space="preserve">Decision required on process for authoring Sector Static Terms: ION-only, or ION in formal consultation with sector anchor TSPs? Governance implications for how sector terms are updated and versioned.</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Roboto" w:cs="Roboto" w:eastAsia="Roboto" w:hAnsi="Roboto"/>
                <w:b/>
                <w:bCs/>
                <w:color w:val="0F172A"/>
                <w:sz w:val="19"/>
                <w:szCs w:val="19"/>
              </w:rPr>
              <w:t xml:space="preserve">Loyalty &amp; Gift Card Model</w:t>
            </w:r>
          </w:p>
        </w:tc>
        <w:tc>
          <w:tcPr>
            <w:tcW w:type="dxa" w:w="760"/>
            <w:tcBorders>
              <w:top w:val="single" w:color="C47A00" w:sz="1"/>
              <w:left w:val="single" w:color="C47A00" w:sz="1"/>
              <w:bottom w:val="single" w:color="C47A00" w:sz="1"/>
              <w:right w:val="single" w:color="C47A00" w:sz="1"/>
            </w:tcBorders>
            <w:shd w:fill="C47A00"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Medium</w:t>
            </w:r>
          </w:p>
        </w:tc>
        <w:tc>
          <w:tcPr>
            <w:tcW w:type="dxa" w:w="65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color w:val="0F172A"/>
                <w:sz w:val="19"/>
                <w:szCs w:val="19"/>
              </w:rPr>
              <w:t xml:space="preserve">Policy decision required on network-native vs participant-native ownership, network portability, liability model, and fraud vector definitions before architecture can proceed.</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Roboto" w:cs="Roboto" w:eastAsia="Roboto" w:hAnsi="Roboto"/>
                <w:b/>
                <w:bCs/>
                <w:color w:val="0F172A"/>
                <w:sz w:val="19"/>
                <w:szCs w:val="19"/>
              </w:rPr>
              <w:t xml:space="preserve">Node Update Management</w:t>
            </w:r>
          </w:p>
        </w:tc>
        <w:tc>
          <w:tcPr>
            <w:tcW w:type="dxa" w:w="760"/>
            <w:tcBorders>
              <w:top w:val="single" w:color="C47A00" w:sz="1"/>
              <w:left w:val="single" w:color="C47A00" w:sz="1"/>
              <w:bottom w:val="single" w:color="C47A00" w:sz="1"/>
              <w:right w:val="single" w:color="C47A00" w:sz="1"/>
            </w:tcBorders>
            <w:shd w:fill="C47A00"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Medium</w:t>
            </w:r>
          </w:p>
        </w:tc>
        <w:tc>
          <w:tcPr>
            <w:tcW w:type="dxa" w:w="65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color w:val="0F172A"/>
                <w:sz w:val="19"/>
                <w:szCs w:val="19"/>
              </w:rPr>
              <w:t xml:space="preserve">Update distribution protocol for 1000+ NP Nodes. Rollout strategy to avoid version fragmentation. Rollback procedures. Mandatory vs optional update classifications.</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Roboto" w:cs="Roboto" w:eastAsia="Roboto" w:hAnsi="Roboto"/>
                <w:b/>
                <w:bCs/>
                <w:color w:val="0F172A"/>
                <w:sz w:val="19"/>
                <w:szCs w:val="19"/>
              </w:rPr>
              <w:t xml:space="preserve">Inter-domain Transactions</w:t>
            </w:r>
          </w:p>
        </w:tc>
        <w:tc>
          <w:tcPr>
            <w:tcW w:type="dxa" w:w="760"/>
            <w:tcBorders>
              <w:top w:val="single" w:color="C47A00" w:sz="1"/>
              <w:left w:val="single" w:color="C47A00" w:sz="1"/>
              <w:bottom w:val="single" w:color="C47A00" w:sz="1"/>
              <w:right w:val="single" w:color="C47A00" w:sz="1"/>
            </w:tcBorders>
            <w:shd w:fill="C47A00"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Medium</w:t>
            </w:r>
          </w:p>
        </w:tc>
        <w:tc>
          <w:tcPr>
            <w:tcW w:type="dxa" w:w="65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color w:val="0F172A"/>
                <w:sz w:val="19"/>
                <w:szCs w:val="19"/>
              </w:rPr>
              <w:t xml:space="preserve">How does a transaction spanning sectors (retail purchase triggering logistics and payment) route across NP Nodes of different types? State machine ownership in cross-sector flows needs definition.</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Roboto" w:cs="Roboto" w:eastAsia="Roboto" w:hAnsi="Roboto"/>
                <w:b/>
                <w:bCs/>
                <w:color w:val="0F172A"/>
                <w:sz w:val="19"/>
                <w:szCs w:val="19"/>
              </w:rPr>
              <w:t xml:space="preserve">AI Layer Design</w:t>
            </w:r>
          </w:p>
        </w:tc>
        <w:tc>
          <w:tcPr>
            <w:tcW w:type="dxa" w:w="760"/>
            <w:tcBorders>
              <w:top w:val="single" w:color="1A7A4A" w:sz="1"/>
              <w:left w:val="single" w:color="1A7A4A" w:sz="1"/>
              <w:bottom w:val="single" w:color="1A7A4A" w:sz="1"/>
              <w:right w:val="single" w:color="1A7A4A" w:sz="1"/>
            </w:tcBorders>
            <w:shd w:fill="1A7A4A"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Low</w:t>
            </w:r>
          </w:p>
        </w:tc>
        <w:tc>
          <w:tcPr>
            <w:tcW w:type="dxa" w:w="65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color w:val="0F172A"/>
                <w:sz w:val="19"/>
                <w:szCs w:val="19"/>
              </w:rPr>
              <w:t xml:space="preserve">Once specific AI use cases are defined: inference location decision (NP Node edge vs ION Core central vs hybrid). Not required now — data architecture is already designed to support this.</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Roboto" w:cs="Roboto" w:eastAsia="Roboto" w:hAnsi="Roboto"/>
                <w:b/>
                <w:bCs/>
                <w:color w:val="0F172A"/>
                <w:sz w:val="19"/>
                <w:szCs w:val="19"/>
              </w:rPr>
              <w:t xml:space="preserve">Sandbox Fidelity Model</w:t>
            </w:r>
          </w:p>
        </w:tc>
        <w:tc>
          <w:tcPr>
            <w:tcW w:type="dxa" w:w="760"/>
            <w:tcBorders>
              <w:top w:val="single" w:color="C47A00" w:sz="1"/>
              <w:left w:val="single" w:color="C47A00" w:sz="1"/>
              <w:bottom w:val="single" w:color="C47A00" w:sz="1"/>
              <w:right w:val="single" w:color="C47A00" w:sz="1"/>
            </w:tcBorders>
            <w:shd w:fill="C47A00" w:val="clear"/>
            <w:tcMar>
              <w:top w:type="dxa" w:w="80"/>
              <w:left w:type="dxa" w:w="80"/>
              <w:bottom w:type="dxa" w:w="80"/>
              <w:right w:type="dxa" w:w="80"/>
            </w:tcMar>
            <w:vAlign w:val="center"/>
          </w:tcPr>
          <w:p>
            <w:pPr>
              <w:jc w:val="center"/>
            </w:pPr>
            <w:r>
              <w:rPr>
                <w:rFonts w:ascii="Roboto" w:cs="Roboto" w:eastAsia="Roboto" w:hAnsi="Roboto"/>
                <w:b/>
                <w:bCs/>
                <w:color w:val="FFFFFF"/>
                <w:sz w:val="17"/>
                <w:szCs w:val="17"/>
              </w:rPr>
              <w:t xml:space="preserve">Medium</w:t>
            </w:r>
          </w:p>
        </w:tc>
        <w:tc>
          <w:tcPr>
            <w:tcW w:type="dxa" w:w="65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Roboto" w:cs="Roboto" w:eastAsia="Roboto" w:hAnsi="Roboto"/>
                <w:color w:val="0F172A"/>
                <w:sz w:val="19"/>
                <w:szCs w:val="19"/>
              </w:rPr>
              <w:t xml:space="preserve">What constitutes production-equivalent fidelity in ION Sandbox? Synthetic data standards, participant simulation coverage, and the certification test suite that serves as the gate for production access.</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2044" w:sz="1"/>
              <w:left w:val="single" w:color="0F2044" w:sz="1"/>
              <w:bottom w:val="single" w:color="0F2044" w:sz="1"/>
              <w:right w:val="single" w:color="0F2044" w:sz="1"/>
            </w:tcBorders>
            <w:shd w:fill="0F2044" w:val="clear"/>
            <w:tcMar>
              <w:top w:type="dxa" w:w="110"/>
              <w:left w:type="dxa" w:w="240"/>
              <w:bottom w:type="dxa" w:w="110"/>
              <w:right w:type="dxa" w:w="240"/>
            </w:tcMar>
          </w:tcPr>
          <w:p>
            <w:r>
              <w:rPr>
                <w:rFonts w:ascii="Roboto" w:cs="Roboto" w:eastAsia="Roboto" w:hAnsi="Roboto"/>
                <w:b/>
                <w:bCs/>
                <w:color w:val="FFFFFF"/>
                <w:sz w:val="24"/>
                <w:szCs w:val="24"/>
              </w:rPr>
              <w:t xml:space="preserve">10.  DOCUMENT INFORMATION &amp; REVISION HISTORY</w:t>
            </w:r>
          </w:p>
        </w:tc>
      </w:tr>
    </w:tbl>
    <w:p>
      <w:pPr>
        <w:spacing w:before="12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600"/>
        <w:gridCol w:w="5080"/>
      </w:tblGrid>
      <w:tr>
        <w:tc>
          <w:tcPr>
            <w:tcW w:type="dxa" w:w="8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Ver</w:t>
            </w:r>
          </w:p>
        </w:tc>
        <w:tc>
          <w:tcPr>
            <w:tcW w:type="dxa" w:w="16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Date</w:t>
            </w:r>
          </w:p>
        </w:tc>
        <w:tc>
          <w:tcPr>
            <w:tcW w:type="dxa" w:w="260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Author</w:t>
            </w:r>
          </w:p>
        </w:tc>
        <w:tc>
          <w:tcPr>
            <w:tcW w:type="dxa" w:w="5080"/>
            <w:tcBorders>
              <w:top w:val="single" w:color="0F2044" w:sz="1"/>
              <w:left w:val="single" w:color="0F2044" w:sz="1"/>
              <w:bottom w:val="single" w:color="0F2044" w:sz="1"/>
              <w:right w:val="single" w:color="0F2044" w:sz="1"/>
            </w:tcBorders>
            <w:shd w:fill="0F2044" w:val="clear"/>
            <w:tcMar>
              <w:top w:type="dxa" w:w="90"/>
              <w:left w:type="dxa" w:w="140"/>
              <w:bottom w:type="dxa" w:w="90"/>
              <w:right w:type="dxa" w:w="140"/>
            </w:tcMar>
          </w:tcPr>
          <w:p>
            <w:r>
              <w:rPr>
                <w:rFonts w:ascii="Roboto" w:cs="Roboto" w:eastAsia="Roboto" w:hAnsi="Roboto"/>
                <w:b/>
                <w:bCs/>
                <w:color w:val="FFFFFF"/>
                <w:sz w:val="19"/>
                <w:szCs w:val="19"/>
              </w:rPr>
              <w:t xml:space="preserve">Changes</w:t>
            </w:r>
          </w:p>
        </w:tc>
      </w:tr>
      <w:tr>
        <w:tc>
          <w:tcPr>
            <w:tcW w:type="dxa" w:w="8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r>
              <w:rPr>
                <w:rFonts w:ascii="Roboto" w:cs="Roboto" w:eastAsia="Roboto" w:hAnsi="Roboto"/>
                <w:b/>
                <w:bCs/>
                <w:color w:val="0A7373"/>
                <w:sz w:val="19"/>
                <w:szCs w:val="19"/>
              </w:rPr>
              <w:t xml:space="preserve">0.1</w:t>
            </w:r>
          </w:p>
        </w:tc>
        <w:tc>
          <w:tcPr>
            <w:tcW w:type="dxa" w:w="1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March 2026</w:t>
            </w:r>
          </w:p>
        </w:tc>
        <w:tc>
          <w:tcPr>
            <w:tcW w:type="dxa" w:w="2600"/>
            <w:tcBorders>
              <w:top w:val="single" w:color="CBD5E1" w:sz="1"/>
              <w:left w:val="single" w:color="CBD5E1" w:sz="1"/>
              <w:bottom w:val="single" w:color="CBD5E1" w:sz="1"/>
              <w:right w:val="single" w:color="CBD5E1" w:sz="1"/>
            </w:tcBorders>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ION Architecture Team</w:t>
            </w:r>
          </w:p>
        </w:tc>
        <w:tc>
          <w:tcPr>
            <w:tcW w:type="dxa" w:w="5080"/>
            <w:tcBorders>
              <w:top w:val="single" w:color="F1F5F9" w:sz="1"/>
              <w:left w:val="single" w:color="F1F5F9" w:sz="1"/>
              <w:bottom w:val="single" w:color="F1F5F9" w:sz="1"/>
              <w:right w:val="single" w:color="F1F5F9" w:sz="1"/>
            </w:tcBorders>
            <w:shd w:fill="F1F5F9" w:val="clear"/>
            <w:tcMar>
              <w:top w:type="dxa" w:w="90"/>
              <w:left w:type="dxa" w:w="140"/>
              <w:bottom w:type="dxa" w:w="90"/>
              <w:right w:type="dxa" w:w="140"/>
            </w:tcMar>
            <w:vAlign w:val="top"/>
          </w:tcPr>
          <w:p>
            <w:r>
              <w:rPr>
                <w:rFonts w:ascii="Roboto" w:cs="Roboto" w:eastAsia="Roboto" w:hAnsi="Roboto"/>
                <w:b w:val="false"/>
                <w:bCs w:val="false"/>
                <w:color w:val="0F172A"/>
                <w:sz w:val="19"/>
                <w:szCs w:val="19"/>
              </w:rPr>
              <w:t xml:space="preserve">Initial working document. Retail transaction flow, component blueprint, state machines, cross-cutting concerns, ION Core operational scope, NP Node / Plug boundary.</w:t>
            </w:r>
          </w:p>
        </w:tc>
      </w:tr>
    </w:tbl>
    <w:p>
      <w:pPr>
        <w:spacing w:before="200" w:after="0"/>
      </w:pPr>
      <w:r>
        <w:rPr>
          <w:rFonts w:ascii="Roboto" w:cs="Roboto" w:eastAsia="Roboto" w:hAnsi="Roboto"/>
          <w:color w:val="0F172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A7373" w:sz="1"/>
              <w:left w:val="single" w:color="0A7373" w:sz="14"/>
              <w:bottom w:val="single" w:color="0A7373" w:sz="1"/>
              <w:right w:val="single" w:color="0A7373" w:sz="1"/>
            </w:tcBorders>
            <w:shd w:fill="E6F4F4" w:val="clear"/>
            <w:tcMar>
              <w:top w:type="dxa" w:w="130"/>
              <w:left w:type="dxa" w:w="220"/>
              <w:bottom w:type="dxa" w:w="130"/>
              <w:right w:type="dxa" w:w="220"/>
            </w:tcMar>
          </w:tcPr>
          <w:p>
            <w:pPr>
              <w:spacing w:after="50"/>
            </w:pPr>
            <w:r>
              <w:rPr>
                <w:rFonts w:ascii="Roboto" w:cs="Roboto" w:eastAsia="Roboto" w:hAnsi="Roboto"/>
                <w:b/>
                <w:bCs/>
                <w:color w:val="0A7373"/>
                <w:sz w:val="19"/>
                <w:szCs w:val="19"/>
              </w:rPr>
              <w:t xml:space="preserve">Document Status</w:t>
            </w:r>
          </w:p>
          <w:p>
            <w:r>
              <w:rPr>
                <w:rFonts w:ascii="Roboto" w:cs="Roboto" w:eastAsia="Roboto" w:hAnsi="Roboto"/>
                <w:color w:val="0F172A"/>
                <w:sz w:val="19"/>
                <w:szCs w:val="19"/>
              </w:rPr>
              <w:t xml:space="preserve">This is a working document at version 0.1. It captures architecture decisions made to date and open questions requiring resolution. It should be reviewed and updated as decisions are made. All comments and suggested changes should be made directly in this document using tracked changes. The document owner is the ION Architecture Team.</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E9E" w:sz="4" w:space="4"/>
      </w:pBdr>
      <w:tabs>
        <w:tab w:val="right" w:pos="9360"/>
      </w:tabs>
      <w:spacing w:before="80"/>
    </w:pPr>
    <w:r>
      <w:rPr>
        <w:rFonts w:ascii="Roboto" w:cs="Roboto" w:eastAsia="Roboto" w:hAnsi="Roboto"/>
        <w:color w:val="64748B"/>
        <w:sz w:val="15"/>
        <w:szCs w:val="15"/>
      </w:rPr>
      <w:t xml:space="preserve">CONFIDENTIAL — ION Working Document — v0.1 — March 2026</w:t>
    </w:r>
    <w:r>
      <w:rPr>
        <w:rFonts w:ascii="Roboto" w:cs="Roboto" w:eastAsia="Roboto" w:hAnsi="Roboto"/>
        <w:color w:val="64748B"/>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E9E" w:sz="4" w:space="4"/>
      </w:pBdr>
      <w:spacing w:after="100"/>
    </w:pPr>
    <w:r>
      <w:rPr>
        <w:rFonts w:ascii="Roboto" w:cs="Roboto" w:eastAsia="Roboto" w:hAnsi="Roboto"/>
        <w:b/>
        <w:bCs/>
        <w:color w:val="0F2044"/>
        <w:sz w:val="17"/>
        <w:szCs w:val="17"/>
      </w:rPr>
      <w:t xml:space="preserve">ION — Indonesia Open Network</w:t>
    </w:r>
    <w:r>
      <w:rPr>
        <w:rFonts w:ascii="Roboto" w:cs="Roboto" w:eastAsia="Roboto" w:hAnsi="Roboto"/>
        <w:color w:val="64748B"/>
        <w:sz w:val="17"/>
        <w:szCs w:val="17"/>
      </w:rPr>
      <w:t xml:space="preserve">   |   Network Design: Architecture, Components &amp; Operating Principles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F172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40"/>
      <w:outlineLvl w:val="0"/>
    </w:pPr>
    <w:rPr>
      <w:rFonts w:ascii="Roboto" w:cs="Roboto" w:eastAsia="Roboto" w:hAnsi="Roboto"/>
      <w:b/>
      <w:bCs/>
      <w:color w:val="0F2044"/>
      <w:sz w:val="38"/>
      <w:szCs w:val="38"/>
    </w:rPr>
  </w:style>
  <w:style w:type="paragraph" w:styleId="Heading2">
    <w:name w:val="Heading 2"/>
    <w:basedOn w:val="Normal"/>
    <w:next w:val="Normal"/>
    <w:qFormat/>
    <w:pPr>
      <w:spacing w:before="300" w:after="100"/>
      <w:outlineLvl w:val="1"/>
    </w:pPr>
    <w:rPr>
      <w:rFonts w:ascii="Roboto" w:cs="Roboto" w:eastAsia="Roboto" w:hAnsi="Roboto"/>
      <w:b/>
      <w:bCs/>
      <w:color w:val="0A7373"/>
      <w:sz w:val="28"/>
      <w:szCs w:val="28"/>
    </w:rPr>
  </w:style>
  <w:style w:type="paragraph" w:styleId="Heading3">
    <w:name w:val="Heading 3"/>
    <w:basedOn w:val="Normal"/>
    <w:next w:val="Normal"/>
    <w:qFormat/>
    <w:pPr>
      <w:spacing w:before="200" w:after="80"/>
      <w:outlineLvl w:val="2"/>
    </w:pPr>
    <w:rPr>
      <w:rFonts w:ascii="Roboto" w:cs="Roboto" w:eastAsia="Roboto" w:hAnsi="Roboto"/>
      <w:b/>
      <w:bCs/>
      <w:color w:val="1A3A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2026-03-16T23:45:22.315Z</dcterms:created>
  <dcterms:modified xsi:type="dcterms:W3CDTF">2026-03-16T23:45:22.344Z</dcterms:modified>
</cp:coreProperties>
</file>

<file path=docProps/custom.xml><?xml version="1.0" encoding="utf-8"?>
<Properties xmlns="http://schemas.openxmlformats.org/officeDocument/2006/custom-properties" xmlns:vt="http://schemas.openxmlformats.org/officeDocument/2006/docPropsVTypes"/>
</file>