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B4C" w:val="clear"/>
            <w:tcMar>
              <w:top w:type="dxa" w:w="400"/>
              <w:left w:type="dxa" w:w="400"/>
              <w:bottom w:type="dxa" w:w="400"/>
              <w:right w:type="dxa" w:w="400"/>
            </w:tcMar>
          </w:tcPr>
          <w:p>
            <w:pPr>
              <w:spacing w:before="0" w:after="80"/>
              <w:jc w:val="left"/>
            </w:pPr>
            <w:r>
              <w:rPr>
                <w:rFonts w:ascii="Arial" w:cs="Arial" w:eastAsia="Arial" w:hAnsi="Arial"/>
                <w:b/>
                <w:bCs/>
                <w:color w:val="0D9488"/>
                <w:sz w:val="28"/>
                <w:szCs w:val="28"/>
              </w:rPr>
              <w:t xml:space="preserve">ION Network</w:t>
            </w:r>
          </w:p>
          <w:p>
            <w:pPr>
              <w:spacing w:before="0" w:after="60"/>
              <w:jc w:val="left"/>
            </w:pPr>
            <w:r>
              <w:rPr>
                <w:rFonts w:ascii="Arial" w:cs="Arial" w:eastAsia="Arial" w:hAnsi="Arial"/>
                <w:b/>
                <w:bCs/>
                <w:color w:val="FFFFFF"/>
                <w:sz w:val="52"/>
                <w:szCs w:val="52"/>
              </w:rPr>
              <w:t xml:space="preserve">Beckn Protocol 2.0</w:t>
            </w:r>
          </w:p>
          <w:p>
            <w:pPr>
              <w:spacing w:before="0" w:after="200"/>
              <w:jc w:val="left"/>
            </w:pPr>
            <w:r>
              <w:rPr>
                <w:rFonts w:ascii="Arial" w:cs="Arial" w:eastAsia="Arial" w:hAnsi="Arial"/>
                <w:b/>
                <w:bCs/>
                <w:color w:val="FFFFFF"/>
                <w:sz w:val="32"/>
                <w:szCs w:val="32"/>
              </w:rPr>
              <w:t xml:space="preserve">Specification Work for Indonesia</w:t>
            </w:r>
          </w:p>
          <w:p>
            <w:pPr>
              <w:spacing w:before="0" w:after="60"/>
              <w:jc w:val="left"/>
            </w:pPr>
            <w:r>
              <w:rPr>
                <w:rFonts w:ascii="Arial" w:cs="Arial" w:eastAsia="Arial" w:hAnsi="Arial"/>
                <w:i/>
                <w:iCs/>
                <w:color w:val="94A3B8"/>
                <w:sz w:val="22"/>
                <w:szCs w:val="22"/>
              </w:rPr>
              <w:t xml:space="preserve">What needs to be built, by whom, and why</w:t>
            </w:r>
          </w:p>
          <w:p>
            <w:pPr>
              <w:spacing w:before="0" w:after="100"/>
              <w:jc w:val="left"/>
            </w:pPr>
            <w:r>
              <w:rPr>
                <w:rFonts w:ascii="Arial" w:cs="Arial" w:eastAsia="Arial" w:hAnsi="Arial"/>
                <w:color w:val="64748B"/>
                <w:sz w:val="19"/>
                <w:szCs w:val="19"/>
              </w:rPr>
              <w:t xml:space="preserve">Confidential Draft  |  March 2026</w:t>
            </w:r>
          </w:p>
        </w:tc>
      </w:tr>
    </w:tbl>
    <w:p>
      <w:pPr>
        <w:spacing w:before="200" w:after="0"/>
      </w:pPr>
    </w:p>
    <w:p>
      <w:pPr>
        <w:pStyle w:val="Heading1"/>
        <w:spacing w:before="0" w:after="100"/>
        <w:jc w:val="left"/>
      </w:pPr>
      <w:r>
        <w:rPr>
          <w:rFonts w:ascii="Arial" w:cs="Arial" w:eastAsia="Arial" w:hAnsi="Arial"/>
          <w:sz w:val="20"/>
          <w:szCs w:val="20"/>
        </w:rPr>
        <w:t xml:space="preserve">1.  Background</w:t>
      </w:r>
    </w:p>
    <w:p>
      <w:pPr>
        <w:spacing w:before="0" w:after="100"/>
        <w:jc w:val="left"/>
      </w:pPr>
      <w:r>
        <w:rPr>
          <w:rFonts w:ascii="Arial" w:cs="Arial" w:eastAsia="Arial" w:hAnsi="Arial"/>
          <w:b/>
          <w:bCs/>
          <w:color w:val="1A2B4C"/>
          <w:sz w:val="24"/>
          <w:szCs w:val="24"/>
        </w:rPr>
        <w:t xml:space="preserve">1.1  What is ION?</w:t>
      </w:r>
    </w:p>
    <w:p>
      <w:pPr>
        <w:spacing w:before="0" w:after="100"/>
        <w:jc w:val="left"/>
      </w:pPr>
      <w:r>
        <w:rPr>
          <w:rFonts w:ascii="Arial" w:cs="Arial" w:eastAsia="Arial" w:hAnsi="Arial"/>
          <w:sz w:val="20"/>
          <w:szCs w:val="20"/>
        </w:rPr>
        <w:t xml:space="preserve">The Indonesia Open Network (ION) is </w:t>
      </w:r>
      <w:r>
        <w:rPr>
          <w:rFonts w:ascii="Arial" w:cs="Arial" w:eastAsia="Arial" w:hAnsi="Arial"/>
          <w:b/>
          <w:bCs/>
          <w:color w:val="1A2B4C"/>
          <w:sz w:val="20"/>
          <w:szCs w:val="20"/>
        </w:rPr>
        <w:t xml:space="preserve">shared digital infrastructure</w:t>
      </w:r>
      <w:r>
        <w:rPr>
          <w:rFonts w:ascii="Arial" w:cs="Arial" w:eastAsia="Arial" w:hAnsi="Arial"/>
          <w:sz w:val="20"/>
          <w:szCs w:val="20"/>
        </w:rPr>
        <w:t xml:space="preserve"> for Indonesia's digital economy. It is built on Beckn Protocol 2.0 — the same open standard that powers India's ONDC — adapted specifically for Indonesia's archipelago geography, regulatory environment, and cultural context.</w:t>
      </w:r>
    </w:p>
    <w:p>
      <w:pPr>
        <w:spacing w:before="0" w:after="100"/>
        <w:jc w:val="left"/>
      </w:pPr>
      <w:r>
        <w:rPr>
          <w:rFonts w:ascii="Arial" w:cs="Arial" w:eastAsia="Arial" w:hAnsi="Arial"/>
          <w:sz w:val="20"/>
          <w:szCs w:val="20"/>
        </w:rPr>
        <w:t xml:space="preserve">ION is </w:t>
      </w:r>
      <w:r>
        <w:rPr>
          <w:rFonts w:ascii="Arial" w:cs="Arial" w:eastAsia="Arial" w:hAnsi="Arial"/>
          <w:b/>
          <w:bCs/>
          <w:color w:val="0D9488"/>
          <w:sz w:val="20"/>
          <w:szCs w:val="20"/>
        </w:rPr>
        <w:t xml:space="preserve">not a marketplace or a super app.</w:t>
      </w:r>
      <w:r>
        <w:rPr>
          <w:rFonts w:ascii="Arial" w:cs="Arial" w:eastAsia="Arial" w:hAnsi="Arial"/>
          <w:sz w:val="20"/>
          <w:szCs w:val="20"/>
        </w:rPr>
        <w:t xml:space="preserve"> It is the open infrastructure that marketplaces, logistics companies, fintech providers, and apps are built on top of — a shared network layer that makes it technically possible for any participant to connect with any other participant, without exclusive deals or high integration costs.</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9488" w:sz="1"/>
              <w:left w:val="single" w:color="0D9488" w:sz="1"/>
              <w:bottom w:val="single" w:color="0D9488" w:sz="1"/>
              <w:right w:val="single" w:color="0D9488" w:sz="1"/>
            </w:tcBorders>
            <w:shd w:fill="EFF6FF" w:val="clear"/>
            <w:tcMar>
              <w:top w:type="dxa" w:w="80"/>
              <w:left w:type="dxa" w:w="200"/>
              <w:bottom w:type="dxa" w:w="80"/>
              <w:right w:type="dxa" w:w="160"/>
            </w:tcMar>
          </w:tcPr>
          <w:p>
            <w:pPr>
              <w:spacing w:before="0" w:after="60"/>
              <w:jc w:val="left"/>
            </w:pPr>
            <w:r>
              <w:rPr>
                <w:rFonts w:ascii="Arial" w:cs="Arial" w:eastAsia="Arial" w:hAnsi="Arial"/>
                <w:b/>
                <w:bCs/>
                <w:color w:val="1A2B4C"/>
                <w:sz w:val="19"/>
                <w:szCs w:val="19"/>
              </w:rPr>
              <w:t xml:space="preserve">Think of it like a road network. </w:t>
            </w:r>
            <w:r>
              <w:rPr>
                <w:rFonts w:ascii="Arial" w:cs="Arial" w:eastAsia="Arial" w:hAnsi="Arial"/>
                <w:sz w:val="19"/>
                <w:szCs w:val="19"/>
              </w:rPr>
              <w:t xml:space="preserve">Roads are public infrastructure — they don't compete with the businesses that use them. ION works the same way for digital commerce. A warung lists once through a Seller App and becomes reachable to customers on every Buyer App connected to the network. A logistics company connects once and receives orders from every sector. A fintech lender integrates once and can embed credit across all six sectors.</w:t>
            </w:r>
          </w:p>
        </w:tc>
      </w:tr>
    </w:tbl>
    <w:p>
      <w:pPr>
        <w:spacing w:before="80" w:after="0"/>
      </w:pPr>
    </w:p>
    <w:p>
      <w:pPr>
        <w:spacing w:before="160" w:after="100"/>
        <w:jc w:val="left"/>
      </w:pPr>
      <w:r>
        <w:rPr>
          <w:rFonts w:ascii="Arial" w:cs="Arial" w:eastAsia="Arial" w:hAnsi="Arial"/>
          <w:b/>
          <w:bCs/>
          <w:color w:val="1A2B4C"/>
          <w:sz w:val="24"/>
          <w:szCs w:val="24"/>
        </w:rPr>
        <w:t xml:space="preserve">1.2  The Problem ION Solves</w:t>
      </w:r>
    </w:p>
    <w:p>
      <w:pPr>
        <w:spacing w:before="0" w:after="80"/>
        <w:jc w:val="left"/>
      </w:pPr>
      <w:r>
        <w:rPr>
          <w:rFonts w:ascii="Arial" w:cs="Arial" w:eastAsia="Arial" w:hAnsi="Arial"/>
          <w:sz w:val="20"/>
          <w:szCs w:val="20"/>
        </w:rPr>
        <w:t xml:space="preserve">Indonesia's digital economy has grown rapidly, but largely through vertically integrated platforms. This has led to:</w:t>
      </w:r>
    </w:p>
    <w:p>
      <w:pPr>
        <w:pStyle w:val="ListParagraph"/>
        <w:numPr>
          <w:ilvl w:val="0"/>
          <w:numId w:val="2"/>
        </w:numPr>
        <w:spacing w:before="0" w:after="80"/>
      </w:pPr>
      <w:r>
        <w:rPr>
          <w:rFonts w:ascii="Arial" w:cs="Arial" w:eastAsia="Arial" w:hAnsi="Arial"/>
          <w:b/>
          <w:bCs/>
          <w:sz w:val="20"/>
          <w:szCs w:val="20"/>
        </w:rPr>
        <w:t xml:space="preserve">Limited interoperability</w:t>
      </w:r>
      <w:r>
        <w:rPr>
          <w:rFonts w:ascii="Arial" w:cs="Arial" w:eastAsia="Arial" w:hAnsi="Arial"/>
          <w:sz w:val="20"/>
          <w:szCs w:val="20"/>
        </w:rPr>
        <w:t xml:space="preserve"> — A warung on one super-app is invisible to users on another.</w:t>
      </w:r>
    </w:p>
    <w:p>
      <w:pPr>
        <w:pStyle w:val="ListParagraph"/>
        <w:numPr>
          <w:ilvl w:val="0"/>
          <w:numId w:val="2"/>
        </w:numPr>
        <w:spacing w:before="0" w:after="80"/>
      </w:pPr>
      <w:r>
        <w:rPr>
          <w:rFonts w:ascii="Arial" w:cs="Arial" w:eastAsia="Arial" w:hAnsi="Arial"/>
          <w:b/>
          <w:bCs/>
          <w:sz w:val="20"/>
          <w:szCs w:val="20"/>
        </w:rPr>
        <w:t xml:space="preserve">High participation costs</w:t>
      </w:r>
      <w:r>
        <w:rPr>
          <w:rFonts w:ascii="Arial" w:cs="Arial" w:eastAsia="Arial" w:hAnsi="Arial"/>
          <w:sz w:val="20"/>
          <w:szCs w:val="20"/>
        </w:rPr>
        <w:t xml:space="preserve"> — Platform commissions of 20–25% on every transaction, even for thin-margin businesses.</w:t>
      </w:r>
    </w:p>
    <w:p>
      <w:pPr>
        <w:pStyle w:val="ListParagraph"/>
        <w:numPr>
          <w:ilvl w:val="0"/>
          <w:numId w:val="2"/>
        </w:numPr>
        <w:spacing w:before="0" w:after="80"/>
      </w:pPr>
      <w:r>
        <w:rPr>
          <w:rFonts w:ascii="Arial" w:cs="Arial" w:eastAsia="Arial" w:hAnsi="Arial"/>
          <w:b/>
          <w:bCs/>
          <w:sz w:val="20"/>
          <w:szCs w:val="20"/>
        </w:rPr>
        <w:t xml:space="preserve">Fragmented logistics</w:t>
      </w:r>
      <w:r>
        <w:rPr>
          <w:rFonts w:ascii="Arial" w:cs="Arial" w:eastAsia="Arial" w:hAnsi="Arial"/>
          <w:sz w:val="20"/>
          <w:szCs w:val="20"/>
        </w:rPr>
        <w:t xml:space="preserve"> — Thousands of providers with no coordination, empty backhaul trips, no visibility across islands.</w:t>
      </w:r>
    </w:p>
    <w:p>
      <w:pPr>
        <w:pStyle w:val="ListParagraph"/>
        <w:numPr>
          <w:ilvl w:val="0"/>
          <w:numId w:val="2"/>
        </w:numPr>
        <w:spacing w:before="0" w:after="80"/>
      </w:pPr>
      <w:r>
        <w:rPr>
          <w:rFonts w:ascii="Arial" w:cs="Arial" w:eastAsia="Arial" w:hAnsi="Arial"/>
          <w:b/>
          <w:bCs/>
          <w:sz w:val="20"/>
          <w:szCs w:val="20"/>
        </w:rPr>
        <w:t xml:space="preserve">Uneven financial access</w:t>
      </w:r>
      <w:r>
        <w:rPr>
          <w:rFonts w:ascii="Arial" w:cs="Arial" w:eastAsia="Arial" w:hAnsi="Arial"/>
          <w:sz w:val="20"/>
          <w:szCs w:val="20"/>
        </w:rPr>
        <w:t xml:space="preserve"> — MSMEs cannot get credit without collateral; gig workers wait 7–14 days for payouts.</w:t>
      </w:r>
    </w:p>
    <w:p>
      <w:pPr>
        <w:pStyle w:val="ListParagraph"/>
        <w:numPr>
          <w:ilvl w:val="0"/>
          <w:numId w:val="2"/>
        </w:numPr>
        <w:spacing w:before="0" w:after="80"/>
      </w:pPr>
      <w:r>
        <w:rPr>
          <w:rFonts w:ascii="Arial" w:cs="Arial" w:eastAsia="Arial" w:hAnsi="Arial"/>
          <w:b/>
          <w:bCs/>
          <w:sz w:val="20"/>
          <w:szCs w:val="20"/>
        </w:rPr>
        <w:t xml:space="preserve">Infrastructure duplication</w:t>
      </w:r>
      <w:r>
        <w:rPr>
          <w:rFonts w:ascii="Arial" w:cs="Arial" w:eastAsia="Arial" w:hAnsi="Arial"/>
          <w:sz w:val="20"/>
          <w:szCs w:val="20"/>
        </w:rPr>
        <w:t xml:space="preserve"> — Every platform builds its own payment, identity, and logistics systems — wasted investment, fragmented standards.</w:t>
      </w:r>
    </w:p>
    <w:p>
      <w:pPr>
        <w:spacing w:before="80" w:after="0"/>
      </w:pPr>
    </w:p>
    <w:p>
      <w:pPr>
        <w:spacing w:before="160" w:after="100"/>
        <w:jc w:val="left"/>
      </w:pPr>
      <w:r>
        <w:rPr>
          <w:rFonts w:ascii="Arial" w:cs="Arial" w:eastAsia="Arial" w:hAnsi="Arial"/>
          <w:b/>
          <w:bCs/>
          <w:color w:val="1A2B4C"/>
          <w:sz w:val="24"/>
          <w:szCs w:val="24"/>
        </w:rPr>
        <w:t xml:space="preserve">1.3  ION's Six Sectors</w:t>
      </w:r>
    </w:p>
    <w:p>
      <w:pPr>
        <w:spacing w:before="0" w:after="120"/>
        <w:jc w:val="left"/>
      </w:pPr>
      <w:r>
        <w:rPr>
          <w:rFonts w:ascii="Arial" w:cs="Arial" w:eastAsia="Arial" w:hAnsi="Arial"/>
          <w:sz w:val="20"/>
          <w:szCs w:val="20"/>
        </w:rPr>
        <w:t xml:space="preserve">ION operates across six sectors that together cover Indonesia's full digital economy. Each sector shares the same underlying protocol and infrastructure while maintaining its own rules, schemas, and compliance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2000"/>
        <w:gridCol w:w="6820"/>
      </w:tblGrid>
      <w:tr>
        <w:trPr>
          <w:tblHeader/>
        </w:trPr>
        <w:tc>
          <w:tcPr>
            <w:tcW w:type="dxa" w:w="540"/>
            <w:tcBorders>
              <w:top w:val="single" w:color="CBD5E1" w:sz="1"/>
              <w:left w:val="single" w:color="CBD5E1" w:sz="1"/>
              <w:bottom w:val="single" w:color="CBD5E1" w:sz="1"/>
              <w:right w:val="single" w:color="CBD5E1" w:sz="1"/>
            </w:tcBorders>
            <w:shd w:fill="1A2B4C" w:val="clear"/>
            <w:tcMar>
              <w:top w:type="dxa" w:w="80"/>
              <w:left w:type="dxa" w:w="120"/>
              <w:bottom w:type="dxa" w:w="80"/>
              <w:right w:type="dxa" w:w="120"/>
            </w:tcMar>
            <w:vAlign w:val="top"/>
          </w:tcPr>
          <w:p>
            <w:pPr>
              <w:spacing w:before="0" w:after="100"/>
              <w:jc w:val="left"/>
            </w:pPr>
            <w:r>
              <w:rPr>
                <w:rFonts w:ascii="Arial" w:cs="Arial" w:eastAsia="Arial" w:hAnsi="Arial"/>
                <w:b/>
                <w:bCs/>
                <w:color w:val="FFFFFF"/>
                <w:sz w:val="18"/>
                <w:szCs w:val="18"/>
              </w:rPr>
              <w:t xml:space="preserve">#</w:t>
            </w:r>
          </w:p>
        </w:tc>
        <w:tc>
          <w:tcPr>
            <w:tcW w:type="dxa" w:w="2000"/>
            <w:tcBorders>
              <w:top w:val="single" w:color="CBD5E1" w:sz="1"/>
              <w:left w:val="single" w:color="CBD5E1" w:sz="1"/>
              <w:bottom w:val="single" w:color="CBD5E1" w:sz="1"/>
              <w:right w:val="single" w:color="CBD5E1" w:sz="1"/>
            </w:tcBorders>
            <w:shd w:fill="1A2B4C" w:val="clear"/>
            <w:tcMar>
              <w:top w:type="dxa" w:w="80"/>
              <w:left w:type="dxa" w:w="120"/>
              <w:bottom w:type="dxa" w:w="80"/>
              <w:right w:type="dxa" w:w="120"/>
            </w:tcMar>
            <w:vAlign w:val="top"/>
          </w:tcPr>
          <w:p>
            <w:pPr>
              <w:spacing w:before="0" w:after="100"/>
              <w:jc w:val="left"/>
            </w:pPr>
            <w:r>
              <w:rPr>
                <w:rFonts w:ascii="Arial" w:cs="Arial" w:eastAsia="Arial" w:hAnsi="Arial"/>
                <w:b/>
                <w:bCs/>
                <w:color w:val="FFFFFF"/>
                <w:sz w:val="18"/>
                <w:szCs w:val="18"/>
              </w:rPr>
              <w:t xml:space="preserve">Sector</w:t>
            </w:r>
          </w:p>
        </w:tc>
        <w:tc>
          <w:tcPr>
            <w:tcW w:type="dxa" w:w="6820"/>
            <w:tcBorders>
              <w:top w:val="single" w:color="CBD5E1" w:sz="1"/>
              <w:left w:val="single" w:color="CBD5E1" w:sz="1"/>
              <w:bottom w:val="single" w:color="CBD5E1" w:sz="1"/>
              <w:right w:val="single" w:color="CBD5E1" w:sz="1"/>
            </w:tcBorders>
            <w:shd w:fill="1A2B4C" w:val="clear"/>
            <w:tcMar>
              <w:top w:type="dxa" w:w="80"/>
              <w:left w:type="dxa" w:w="120"/>
              <w:bottom w:type="dxa" w:w="80"/>
              <w:right w:type="dxa" w:w="120"/>
            </w:tcMar>
            <w:vAlign w:val="top"/>
          </w:tcPr>
          <w:p>
            <w:pPr>
              <w:spacing w:before="0" w:after="100"/>
              <w:jc w:val="left"/>
            </w:pPr>
            <w:r>
              <w:rPr>
                <w:rFonts w:ascii="Arial" w:cs="Arial" w:eastAsia="Arial" w:hAnsi="Arial"/>
                <w:b/>
                <w:bCs/>
                <w:color w:val="FFFFFF"/>
                <w:sz w:val="18"/>
                <w:szCs w:val="18"/>
              </w:rPr>
              <w:t xml:space="preserve">Covers</w:t>
            </w:r>
          </w:p>
        </w:tc>
      </w:tr>
      <w:tr>
        <w:trPr>
          <w:tblHeader w:val="false"/>
        </w:trPr>
        <w:tc>
          <w:tcPr>
            <w:tcW w:type="dxa" w:w="5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before="0" w:after="100"/>
              <w:jc w:val="left"/>
            </w:pPr>
            <w:r>
              <w:rPr>
                <w:rFonts w:ascii="Arial" w:cs="Arial" w:eastAsia="Arial" w:hAnsi="Arial"/>
                <w:b/>
                <w:bCs/>
                <w:color w:val="0D9488"/>
                <w:sz w:val="18"/>
                <w:szCs w:val="18"/>
              </w:rPr>
              <w:t xml:space="preserve">01</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before="0" w:after="100"/>
              <w:jc w:val="left"/>
            </w:pPr>
            <w:r>
              <w:rPr>
                <w:rFonts w:ascii="Arial" w:cs="Arial" w:eastAsia="Arial" w:hAnsi="Arial"/>
                <w:b w:val="false"/>
                <w:bCs w:val="false"/>
                <w:color w:val="1A2B4C"/>
                <w:sz w:val="18"/>
                <w:szCs w:val="18"/>
              </w:rPr>
              <w:t xml:space="preserve">Trade</w:t>
            </w:r>
          </w:p>
        </w:tc>
        <w:tc>
          <w:tcPr>
            <w:tcW w:type="dxa" w:w="68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before="0" w:after="100"/>
              <w:jc w:val="left"/>
            </w:pPr>
            <w:r>
              <w:rPr>
                <w:rFonts w:ascii="Arial" w:cs="Arial" w:eastAsia="Arial" w:hAnsi="Arial"/>
                <w:b w:val="false"/>
                <w:bCs w:val="false"/>
                <w:color w:val="1A2B4C"/>
                <w:sz w:val="18"/>
                <w:szCs w:val="18"/>
              </w:rPr>
              <w:t xml:space="preserve">Neighbourhood commerce (warung, pasar, kaki lima), organised retail, online food delivery, agriculture, D2C brands</w:t>
            </w:r>
          </w:p>
        </w:tc>
      </w:tr>
      <w:tr>
        <w:trPr>
          <w:tblHeader w:val="false"/>
        </w:trPr>
        <w:tc>
          <w:tcPr>
            <w:tcW w:type="dxa" w:w="5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bCs/>
                <w:color w:val="0D9488"/>
                <w:sz w:val="18"/>
                <w:szCs w:val="18"/>
              </w:rPr>
              <w:t xml:space="preserve">02</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color w:val="1A2B4C"/>
                <w:sz w:val="18"/>
                <w:szCs w:val="18"/>
              </w:rPr>
              <w:t xml:space="preserve">Mobility</w:t>
            </w:r>
          </w:p>
        </w:tc>
        <w:tc>
          <w:tcPr>
            <w:tcW w:type="dxa" w:w="68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color w:val="1A2B4C"/>
                <w:sz w:val="18"/>
                <w:szCs w:val="18"/>
              </w:rPr>
              <w:t xml:space="preserve">Moving people by road (ojek, angkot, bus), rail (KRL, LRT, MRT), air (domestic flights), and sea (ferry, inter-island)</w:t>
            </w:r>
          </w:p>
        </w:tc>
      </w:tr>
      <w:tr>
        <w:trPr>
          <w:tblHeader w:val="false"/>
        </w:trPr>
        <w:tc>
          <w:tcPr>
            <w:tcW w:type="dxa" w:w="5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before="0" w:after="100"/>
              <w:jc w:val="left"/>
            </w:pPr>
            <w:r>
              <w:rPr>
                <w:rFonts w:ascii="Arial" w:cs="Arial" w:eastAsia="Arial" w:hAnsi="Arial"/>
                <w:b/>
                <w:bCs/>
                <w:color w:val="0D9488"/>
                <w:sz w:val="18"/>
                <w:szCs w:val="18"/>
              </w:rPr>
              <w:t xml:space="preserve">03</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before="0" w:after="100"/>
              <w:jc w:val="left"/>
            </w:pPr>
            <w:r>
              <w:rPr>
                <w:rFonts w:ascii="Arial" w:cs="Arial" w:eastAsia="Arial" w:hAnsi="Arial"/>
                <w:b w:val="false"/>
                <w:bCs w:val="false"/>
                <w:color w:val="1A2B4C"/>
                <w:sz w:val="18"/>
                <w:szCs w:val="18"/>
              </w:rPr>
              <w:t xml:space="preserve">Logistics</w:t>
            </w:r>
          </w:p>
        </w:tc>
        <w:tc>
          <w:tcPr>
            <w:tcW w:type="dxa" w:w="68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before="0" w:after="100"/>
              <w:jc w:val="left"/>
            </w:pPr>
            <w:r>
              <w:rPr>
                <w:rFonts w:ascii="Arial" w:cs="Arial" w:eastAsia="Arial" w:hAnsi="Arial"/>
                <w:b w:val="false"/>
                <w:bCs w:val="false"/>
                <w:color w:val="1A2B4C"/>
                <w:sz w:val="18"/>
                <w:szCs w:val="18"/>
              </w:rPr>
              <w:t xml:space="preserve">Delivery and freight — hyperlocal (same-day, within city), inter-city, and inter-island (multi-modal: ship, truck, air)</w:t>
            </w:r>
          </w:p>
        </w:tc>
      </w:tr>
      <w:tr>
        <w:trPr>
          <w:tblHeader w:val="false"/>
        </w:trPr>
        <w:tc>
          <w:tcPr>
            <w:tcW w:type="dxa" w:w="5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bCs/>
                <w:color w:val="0D9488"/>
                <w:sz w:val="18"/>
                <w:szCs w:val="18"/>
              </w:rPr>
              <w:t xml:space="preserve">04</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color w:val="1A2B4C"/>
                <w:sz w:val="18"/>
                <w:szCs w:val="18"/>
              </w:rPr>
              <w:t xml:space="preserve">Hospitality</w:t>
            </w:r>
          </w:p>
        </w:tc>
        <w:tc>
          <w:tcPr>
            <w:tcW w:type="dxa" w:w="68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color w:val="1A2B4C"/>
                <w:sz w:val="18"/>
                <w:szCs w:val="18"/>
              </w:rPr>
              <w:t xml:space="preserve">Accommodation and experiences — hotels, villas, homestays, pondok wisata, tours, cultural activities</w:t>
            </w:r>
          </w:p>
        </w:tc>
      </w:tr>
      <w:tr>
        <w:trPr>
          <w:tblHeader w:val="false"/>
        </w:trPr>
        <w:tc>
          <w:tcPr>
            <w:tcW w:type="dxa" w:w="5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before="0" w:after="100"/>
              <w:jc w:val="left"/>
            </w:pPr>
            <w:r>
              <w:rPr>
                <w:rFonts w:ascii="Arial" w:cs="Arial" w:eastAsia="Arial" w:hAnsi="Arial"/>
                <w:b/>
                <w:bCs/>
                <w:color w:val="0D9488"/>
                <w:sz w:val="18"/>
                <w:szCs w:val="18"/>
              </w:rPr>
              <w:t xml:space="preserve">05</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before="0" w:after="100"/>
              <w:jc w:val="left"/>
            </w:pPr>
            <w:r>
              <w:rPr>
                <w:rFonts w:ascii="Arial" w:cs="Arial" w:eastAsia="Arial" w:hAnsi="Arial"/>
                <w:b w:val="false"/>
                <w:bCs w:val="false"/>
                <w:color w:val="1A2B4C"/>
                <w:sz w:val="18"/>
                <w:szCs w:val="18"/>
              </w:rPr>
              <w:t xml:space="preserve">Finance</w:t>
            </w:r>
          </w:p>
        </w:tc>
        <w:tc>
          <w:tcPr>
            <w:tcW w:type="dxa" w:w="68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before="0" w:after="100"/>
              <w:jc w:val="left"/>
            </w:pPr>
            <w:r>
              <w:rPr>
                <w:rFonts w:ascii="Arial" w:cs="Arial" w:eastAsia="Arial" w:hAnsi="Arial"/>
                <w:b w:val="false"/>
                <w:bCs w:val="false"/>
                <w:color w:val="1A2B4C"/>
                <w:sz w:val="18"/>
                <w:szCs w:val="18"/>
              </w:rPr>
              <w:t xml:space="preserve">Credit (kredit), micro-insurance (asuransi mikro), and investment — all regulated by OJK and sharing KYC/settlement infrastructure</w:t>
            </w:r>
          </w:p>
        </w:tc>
      </w:tr>
      <w:tr>
        <w:trPr>
          <w:tblHeader w:val="false"/>
        </w:trPr>
        <w:tc>
          <w:tcPr>
            <w:tcW w:type="dxa" w:w="5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bCs/>
                <w:color w:val="0D9488"/>
                <w:sz w:val="18"/>
                <w:szCs w:val="18"/>
              </w:rPr>
              <w:t xml:space="preserve">06</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color w:val="1A2B4C"/>
                <w:sz w:val="18"/>
                <w:szCs w:val="18"/>
              </w:rPr>
              <w:t xml:space="preserve">Services</w:t>
            </w:r>
          </w:p>
        </w:tc>
        <w:tc>
          <w:tcPr>
            <w:tcW w:type="dxa" w:w="68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color w:val="1A2B4C"/>
                <w:sz w:val="18"/>
                <w:szCs w:val="18"/>
              </w:rPr>
              <w:t xml:space="preserve">Home services, health and wellness, and professional services — with appointment-based and home-visit fulfilment</w:t>
            </w:r>
          </w:p>
        </w:tc>
      </w:tr>
    </w:tbl>
    <w:p>
      <w:pPr>
        <w:spacing w:before="160" w:after="0"/>
      </w:pPr>
    </w:p>
    <w:p>
      <w:pPr>
        <w:spacing w:before="160" w:after="100"/>
        <w:jc w:val="left"/>
      </w:pPr>
      <w:r>
        <w:rPr>
          <w:rFonts w:ascii="Arial" w:cs="Arial" w:eastAsia="Arial" w:hAnsi="Arial"/>
          <w:b/>
          <w:bCs/>
          <w:color w:val="1A2B4C"/>
          <w:sz w:val="24"/>
          <w:szCs w:val="24"/>
        </w:rPr>
        <w:t xml:space="preserve">1.4  Three Participant Types</w:t>
      </w:r>
    </w:p>
    <w:p>
      <w:pPr>
        <w:spacing w:before="0" w:after="80"/>
        <w:jc w:val="left"/>
      </w:pPr>
      <w:r>
        <w:rPr>
          <w:rFonts w:ascii="Arial" w:cs="Arial" w:eastAsia="Arial" w:hAnsi="Arial"/>
          <w:sz w:val="20"/>
          <w:szCs w:val="20"/>
        </w:rPr>
        <w:t xml:space="preserve">Every participant on ION fits into one of three types:</w:t>
      </w:r>
    </w:p>
    <w:p>
      <w:pPr>
        <w:pStyle w:val="ListParagraph"/>
        <w:numPr>
          <w:ilvl w:val="0"/>
          <w:numId w:val="2"/>
        </w:numPr>
        <w:spacing w:before="0" w:after="80"/>
      </w:pPr>
      <w:r>
        <w:rPr>
          <w:rFonts w:ascii="Arial" w:cs="Arial" w:eastAsia="Arial" w:hAnsi="Arial"/>
          <w:b/>
          <w:bCs/>
          <w:color w:val="1A2B4C"/>
          <w:sz w:val="20"/>
          <w:szCs w:val="20"/>
        </w:rPr>
        <w:t xml:space="preserve">Buyer Apps</w:t>
      </w:r>
      <w:r>
        <w:rPr>
          <w:rFonts w:ascii="Arial" w:cs="Arial" w:eastAsia="Arial" w:hAnsi="Arial"/>
          <w:sz w:val="20"/>
          <w:szCs w:val="20"/>
        </w:rPr>
        <w:t xml:space="preserve"> — Consumer-facing platforms. Discover and transact with any Seller App on the network without exclusive deals.</w:t>
      </w:r>
    </w:p>
    <w:p>
      <w:pPr>
        <w:pStyle w:val="ListParagraph"/>
        <w:numPr>
          <w:ilvl w:val="0"/>
          <w:numId w:val="2"/>
        </w:numPr>
        <w:spacing w:before="0" w:after="80"/>
      </w:pPr>
      <w:r>
        <w:rPr>
          <w:rFonts w:ascii="Arial" w:cs="Arial" w:eastAsia="Arial" w:hAnsi="Arial"/>
          <w:b/>
          <w:bCs/>
          <w:color w:val="1A2B4C"/>
          <w:sz w:val="20"/>
          <w:szCs w:val="20"/>
        </w:rPr>
        <w:t xml:space="preserve">Seller Apps</w:t>
      </w:r>
      <w:r>
        <w:rPr>
          <w:rFonts w:ascii="Arial" w:cs="Arial" w:eastAsia="Arial" w:hAnsi="Arial"/>
          <w:sz w:val="20"/>
          <w:szCs w:val="20"/>
        </w:rPr>
        <w:t xml:space="preserve"> — Merchant and provider tools. Connect merchants to every Buyer App on ION — without exclusivity or lock-in.</w:t>
      </w:r>
    </w:p>
    <w:p>
      <w:pPr>
        <w:pStyle w:val="ListParagraph"/>
        <w:numPr>
          <w:ilvl w:val="0"/>
          <w:numId w:val="2"/>
        </w:numPr>
        <w:spacing w:before="0" w:after="80"/>
      </w:pPr>
      <w:r>
        <w:rPr>
          <w:rFonts w:ascii="Arial" w:cs="Arial" w:eastAsia="Arial" w:hAnsi="Arial"/>
          <w:b/>
          <w:bCs/>
          <w:color w:val="1A2B4C"/>
          <w:sz w:val="20"/>
          <w:szCs w:val="20"/>
        </w:rPr>
        <w:t xml:space="preserve">Technology Service Providers (TSPs)</w:t>
      </w:r>
      <w:r>
        <w:rPr>
          <w:rFonts w:ascii="Arial" w:cs="Arial" w:eastAsia="Arial" w:hAnsi="Arial"/>
          <w:sz w:val="20"/>
          <w:szCs w:val="20"/>
        </w:rPr>
        <w:t xml:space="preserve"> — Build shared network infrastructure: onboarding systems, settlement platforms, reputation engines, dispute tools, and more.</w:t>
      </w:r>
    </w:p>
    <w:p>
      <w:pPr>
        <w:spacing w:before="80" w:after="0"/>
      </w:pPr>
    </w:p>
    <w:p>
      <w:pPr>
        <w:spacing w:before="160" w:after="100"/>
        <w:jc w:val="left"/>
      </w:pPr>
      <w:r>
        <w:rPr>
          <w:rFonts w:ascii="Arial" w:cs="Arial" w:eastAsia="Arial" w:hAnsi="Arial"/>
          <w:b/>
          <w:bCs/>
          <w:color w:val="1A2B4C"/>
          <w:sz w:val="24"/>
          <w:szCs w:val="24"/>
        </w:rPr>
        <w:t xml:space="preserve">1.5  Indonesia's Digital Infrastructure Advantages</w:t>
      </w:r>
    </w:p>
    <w:p>
      <w:pPr>
        <w:spacing w:before="0" w:after="80"/>
        <w:jc w:val="left"/>
      </w:pPr>
      <w:r>
        <w:rPr>
          <w:rFonts w:ascii="Arial" w:cs="Arial" w:eastAsia="Arial" w:hAnsi="Arial"/>
          <w:sz w:val="20"/>
          <w:szCs w:val="20"/>
        </w:rPr>
        <w:t xml:space="preserve">ION does not need to build payment, identity, or settlement systems from scratch. Indonesia's national digital infrastructure already exists at scale and is available to all ION participants:</w:t>
      </w:r>
    </w:p>
    <w:p>
      <w:pPr>
        <w:pStyle w:val="ListParagraph"/>
        <w:numPr>
          <w:ilvl w:val="0"/>
          <w:numId w:val="2"/>
        </w:numPr>
        <w:spacing w:before="0" w:after="80"/>
      </w:pPr>
      <w:r>
        <w:rPr>
          <w:rFonts w:ascii="Arial" w:cs="Arial" w:eastAsia="Arial" w:hAnsi="Arial"/>
          <w:b/>
          <w:bCs/>
          <w:sz w:val="20"/>
          <w:szCs w:val="20"/>
        </w:rPr>
        <w:t xml:space="preserve">QRIS</w:t>
      </w:r>
      <w:r>
        <w:rPr>
          <w:rFonts w:ascii="Arial" w:cs="Arial" w:eastAsia="Arial" w:hAnsi="Arial"/>
          <w:sz w:val="20"/>
          <w:szCs w:val="20"/>
        </w:rPr>
        <w:t xml:space="preserve"> — 38M+ merchant acceptance points. Indonesia's unified QR payment system across all banks and e-wallets.</w:t>
      </w:r>
    </w:p>
    <w:p>
      <w:pPr>
        <w:pStyle w:val="ListParagraph"/>
        <w:numPr>
          <w:ilvl w:val="0"/>
          <w:numId w:val="2"/>
        </w:numPr>
        <w:spacing w:before="0" w:after="80"/>
      </w:pPr>
      <w:r>
        <w:rPr>
          <w:rFonts w:ascii="Arial" w:cs="Arial" w:eastAsia="Arial" w:hAnsi="Arial"/>
          <w:b/>
          <w:bCs/>
          <w:sz w:val="20"/>
          <w:szCs w:val="20"/>
        </w:rPr>
        <w:t xml:space="preserve">e-KTP</w:t>
      </w:r>
      <w:r>
        <w:rPr>
          <w:rFonts w:ascii="Arial" w:cs="Arial" w:eastAsia="Arial" w:hAnsi="Arial"/>
          <w:sz w:val="20"/>
          <w:szCs w:val="20"/>
        </w:rPr>
        <w:t xml:space="preserve"> — National digital identity with biometric data for all citizens. Enables instant participant verification.</w:t>
      </w:r>
    </w:p>
    <w:p>
      <w:pPr>
        <w:pStyle w:val="ListParagraph"/>
        <w:numPr>
          <w:ilvl w:val="0"/>
          <w:numId w:val="2"/>
        </w:numPr>
        <w:spacing w:before="0" w:after="80"/>
      </w:pPr>
      <w:r>
        <w:rPr>
          <w:rFonts w:ascii="Arial" w:cs="Arial" w:eastAsia="Arial" w:hAnsi="Arial"/>
          <w:b/>
          <w:bCs/>
          <w:sz w:val="20"/>
          <w:szCs w:val="20"/>
        </w:rPr>
        <w:t xml:space="preserve">NIB</w:t>
      </w:r>
      <w:r>
        <w:rPr>
          <w:rFonts w:ascii="Arial" w:cs="Arial" w:eastAsia="Arial" w:hAnsi="Arial"/>
          <w:sz w:val="20"/>
          <w:szCs w:val="20"/>
        </w:rPr>
        <w:t xml:space="preserve"> — Business registration via OSS (Online Single Submission). Automated business licence verification.</w:t>
      </w:r>
    </w:p>
    <w:p>
      <w:pPr>
        <w:pStyle w:val="ListParagraph"/>
        <w:numPr>
          <w:ilvl w:val="0"/>
          <w:numId w:val="2"/>
        </w:numPr>
        <w:spacing w:before="0" w:after="80"/>
      </w:pPr>
      <w:r>
        <w:rPr>
          <w:rFonts w:ascii="Arial" w:cs="Arial" w:eastAsia="Arial" w:hAnsi="Arial"/>
          <w:b/>
          <w:bCs/>
          <w:sz w:val="20"/>
          <w:szCs w:val="20"/>
        </w:rPr>
        <w:t xml:space="preserve">BI-FAST</w:t>
      </w:r>
      <w:r>
        <w:rPr>
          <w:rFonts w:ascii="Arial" w:cs="Arial" w:eastAsia="Arial" w:hAnsi="Arial"/>
          <w:sz w:val="20"/>
          <w:szCs w:val="20"/>
        </w:rPr>
        <w:t xml:space="preserve"> — Real-time 24/7 payment settlement. Enables instant multi-party payouts — critical for gig workers and small merchants.</w:t>
      </w:r>
    </w:p>
    <w:p>
      <w:pPr>
        <w:pStyle w:val="ListParagraph"/>
        <w:numPr>
          <w:ilvl w:val="0"/>
          <w:numId w:val="2"/>
        </w:numPr>
        <w:spacing w:before="0" w:after="80"/>
      </w:pPr>
      <w:r>
        <w:rPr>
          <w:rFonts w:ascii="Arial" w:cs="Arial" w:eastAsia="Arial" w:hAnsi="Arial"/>
          <w:b/>
          <w:bCs/>
          <w:sz w:val="20"/>
          <w:szCs w:val="20"/>
        </w:rPr>
        <w:t xml:space="preserve">NLE</w:t>
      </w:r>
      <w:r>
        <w:rPr>
          <w:rFonts w:ascii="Arial" w:cs="Arial" w:eastAsia="Arial" w:hAnsi="Arial"/>
          <w:sz w:val="20"/>
          <w:szCs w:val="20"/>
        </w:rPr>
        <w:t xml:space="preserve"> — National Logistics Ecosystem. Government platform coordinating logistics across ports, customs, and shipping for inter-island coordination.</w:t>
      </w:r>
    </w:p>
    <w:p>
      <w:pPr>
        <w:spacing w:before="160" w:after="0"/>
      </w:pPr>
    </w:p>
    <w:p>
      <w:pPr>
        <w:spacing w:before="160" w:after="100"/>
        <w:jc w:val="left"/>
      </w:pPr>
      <w:r>
        <w:rPr>
          <w:rFonts w:ascii="Arial" w:cs="Arial" w:eastAsia="Arial" w:hAnsi="Arial"/>
          <w:b/>
          <w:bCs/>
          <w:color w:val="1A2B4C"/>
          <w:sz w:val="24"/>
          <w:szCs w:val="24"/>
        </w:rPr>
        <w:t xml:space="preserve">1.6  Why Beckn Protocol 2.0?</w:t>
      </w:r>
    </w:p>
    <w:p>
      <w:pPr>
        <w:spacing w:before="0" w:after="100"/>
        <w:jc w:val="left"/>
      </w:pPr>
      <w:r>
        <w:rPr>
          <w:rFonts w:ascii="Arial" w:cs="Arial" w:eastAsia="Arial" w:hAnsi="Arial"/>
          <w:sz w:val="20"/>
          <w:szCs w:val="20"/>
        </w:rPr>
        <w:t xml:space="preserve">Beckn Protocol 2.0 is the open technical standard ION is built on. It is a structured, machine-verifiable language that all participants use to communicate — describing products, services, orders, fulfilment, and transactions in a consistent way. For most participants, the protocol is invisible — handled by ONIX and TSP integration tools. For developers, it defines the exact message format every system must speak.</w:t>
      </w:r>
    </w:p>
    <w:p>
      <w:pPr>
        <w:spacing w:before="0" w:after="80"/>
        <w:jc w:val="left"/>
      </w:pPr>
      <w:r>
        <w:rPr>
          <w:rFonts w:ascii="Arial" w:cs="Arial" w:eastAsia="Arial" w:hAnsi="Arial"/>
          <w:sz w:val="20"/>
          <w:szCs w:val="20"/>
        </w:rPr>
        <w:t xml:space="preserve">Beckn 2.0 introduces three major architectural improvements over its predecessor:</w:t>
      </w:r>
    </w:p>
    <w:p>
      <w:pPr>
        <w:pStyle w:val="ListParagraph"/>
        <w:numPr>
          <w:ilvl w:val="0"/>
          <w:numId w:val="2"/>
        </w:numPr>
        <w:spacing w:before="0" w:after="80"/>
      </w:pPr>
      <w:r>
        <w:rPr>
          <w:rFonts w:ascii="Arial" w:cs="Arial" w:eastAsia="Arial" w:hAnsi="Arial"/>
          <w:b/>
          <w:bCs/>
          <w:sz w:val="20"/>
          <w:szCs w:val="20"/>
        </w:rPr>
        <w:t xml:space="preserve">JSON-LD + schema.org schemas</w:t>
      </w:r>
      <w:r>
        <w:rPr>
          <w:rFonts w:ascii="Arial" w:cs="Arial" w:eastAsia="Arial" w:hAnsi="Arial"/>
          <w:sz w:val="20"/>
          <w:szCs w:val="20"/>
        </w:rPr>
        <w:t xml:space="preserve"> — All entities (Item, Provider, Order, Fulfilment) are structured, machine-readable, and semantically interoperable.</w:t>
      </w:r>
    </w:p>
    <w:p>
      <w:pPr>
        <w:pStyle w:val="ListParagraph"/>
        <w:numPr>
          <w:ilvl w:val="0"/>
          <w:numId w:val="2"/>
        </w:numPr>
        <w:spacing w:before="0" w:after="80"/>
      </w:pPr>
      <w:r>
        <w:rPr>
          <w:rFonts w:ascii="Arial" w:cs="Arial" w:eastAsia="Arial" w:hAnsi="Arial"/>
          <w:b/>
          <w:bCs/>
          <w:sz w:val="20"/>
          <w:szCs w:val="20"/>
        </w:rPr>
        <w:t xml:space="preserve">Catalog Discovery Service (CDS)</w:t>
      </w:r>
      <w:r>
        <w:rPr>
          <w:rFonts w:ascii="Arial" w:cs="Arial" w:eastAsia="Arial" w:hAnsi="Arial"/>
          <w:sz w:val="20"/>
          <w:szCs w:val="20"/>
        </w:rPr>
        <w:t xml:space="preserve"> — Replaces the old Beckn Gateway. Seller Apps publish catalogs to CDS continuously; Buyer Apps query CDS for discovery. Decouples catalog publication from live transactions.</w:t>
      </w:r>
    </w:p>
    <w:p>
      <w:pPr>
        <w:pStyle w:val="ListParagraph"/>
        <w:numPr>
          <w:ilvl w:val="0"/>
          <w:numId w:val="2"/>
        </w:numPr>
        <w:spacing w:before="0" w:after="80"/>
      </w:pPr>
      <w:r>
        <w:rPr>
          <w:rFonts w:ascii="Arial" w:cs="Arial" w:eastAsia="Arial" w:hAnsi="Arial"/>
          <w:b/>
          <w:bCs/>
          <w:sz w:val="20"/>
          <w:szCs w:val="20"/>
        </w:rPr>
        <w:t xml:space="preserve">DeDi-compliant Network Registry</w:t>
      </w:r>
      <w:r>
        <w:rPr>
          <w:rFonts w:ascii="Arial" w:cs="Arial" w:eastAsia="Arial" w:hAnsi="Arial"/>
          <w:sz w:val="20"/>
          <w:szCs w:val="20"/>
        </w:rPr>
        <w:t xml:space="preserve"> — Replaces bespoke Beckn registry APIs with a standards-based, publicly readable participant directory.</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7706" w:sz="1"/>
              <w:left w:val="single" w:color="D97706" w:sz="1"/>
              <w:bottom w:val="single" w:color="D97706" w:sz="1"/>
              <w:right w:val="single" w:color="D97706" w:sz="1"/>
            </w:tcBorders>
            <w:shd w:fill="D97706" w:val="clear"/>
            <w:tcMar>
              <w:top w:type="dxa" w:w="80"/>
              <w:left w:type="dxa" w:w="160"/>
              <w:bottom w:type="dxa" w:w="80"/>
              <w:right w:type="dxa" w:w="160"/>
            </w:tcMar>
          </w:tcPr>
          <w:p>
            <w:pPr>
              <w:spacing w:before="0" w:after="100"/>
              <w:jc w:val="left"/>
            </w:pPr>
            <w:r>
              <w:rPr>
                <w:rFonts w:ascii="Arial" w:cs="Arial" w:eastAsia="Arial" w:hAnsi="Arial"/>
                <w:b/>
                <w:bCs/>
                <w:color w:val="FFFFFF"/>
                <w:sz w:val="19"/>
                <w:szCs w:val="19"/>
              </w:rPr>
              <w:t xml:space="preserve">📌  Example: How the publish-discover-transact flow works</w:t>
            </w:r>
          </w:p>
        </w:tc>
      </w:tr>
      <w:tr>
        <w:tc>
          <w:tcPr>
            <w:tcBorders>
              <w:top w:val="single" w:color="D97706" w:sz="1"/>
              <w:left w:val="single" w:color="D97706" w:sz="1"/>
              <w:bottom w:val="single" w:color="D97706" w:sz="1"/>
              <w:right w:val="single" w:color="D97706" w:sz="1"/>
            </w:tcBorders>
            <w:shd w:fill="FEF3C7" w:val="clear"/>
            <w:tcMar>
              <w:top w:type="dxa" w:w="60"/>
              <w:left w:type="dxa" w:w="200"/>
              <w:bottom w:type="dxa" w:w="60"/>
              <w:right w:type="dxa" w:w="160"/>
            </w:tcMar>
          </w:tcPr>
          <w:p>
            <w:pPr>
              <w:spacing w:before="0" w:after="40"/>
              <w:jc w:val="left"/>
            </w:pPr>
            <w:r>
              <w:rPr>
                <w:rFonts w:ascii="Arial" w:cs="Arial" w:eastAsia="Arial" w:hAnsi="Arial"/>
                <w:sz w:val="19"/>
                <w:szCs w:val="19"/>
              </w:rPr>
              <w:t xml:space="preserve">A warung owner uploads their menu to a Seller App (BPP). </w:t>
            </w:r>
            <w:r>
              <w:rPr>
                <w:rFonts w:ascii="Arial" w:cs="Arial" w:eastAsia="Arial" w:hAnsi="Arial"/>
                <w:b/>
                <w:bCs/>
                <w:sz w:val="19"/>
                <w:szCs w:val="19"/>
              </w:rPr>
              <w:t xml:space="preserve">Publish:</w:t>
            </w:r>
            <w:r>
              <w:rPr>
                <w:rFonts w:ascii="Arial" w:cs="Arial" w:eastAsia="Arial" w:hAnsi="Arial"/>
                <w:sz w:val="19"/>
                <w:szCs w:val="19"/>
              </w:rPr>
              <w:t xml:space="preserve"> The Seller App pushes the catalog to CDS — this happens once, continuously in the background, not per-customer-request.</w:t>
            </w:r>
          </w:p>
        </w:tc>
      </w:tr>
      <w:tr>
        <w:tc>
          <w:tcPr>
            <w:tcBorders>
              <w:top w:val="single" w:color="D97706" w:sz="1"/>
              <w:left w:val="single" w:color="D97706" w:sz="1"/>
              <w:bottom w:val="single" w:color="D97706" w:sz="1"/>
              <w:right w:val="single" w:color="D97706" w:sz="1"/>
            </w:tcBorders>
            <w:shd w:fill="FEF3C7" w:val="clear"/>
            <w:tcMar>
              <w:top w:type="dxa" w:w="60"/>
              <w:left w:type="dxa" w:w="200"/>
              <w:bottom w:type="dxa" w:w="60"/>
              <w:right w:type="dxa" w:w="160"/>
            </w:tcMar>
          </w:tcPr>
          <w:p>
            <w:pPr>
              <w:spacing w:before="0" w:after="40"/>
              <w:jc w:val="left"/>
            </w:pPr>
            <w:r>
              <w:rPr>
                <w:rFonts w:ascii="Arial" w:cs="Arial" w:eastAsia="Arial" w:hAnsi="Arial"/>
                <w:b/>
                <w:bCs/>
                <w:sz w:val="19"/>
                <w:szCs w:val="19"/>
              </w:rPr>
              <w:t xml:space="preserve">Discover:</w:t>
            </w:r>
            <w:r>
              <w:rPr>
                <w:rFonts w:ascii="Arial" w:cs="Arial" w:eastAsia="Arial" w:hAnsi="Arial"/>
                <w:sz w:val="19"/>
                <w:szCs w:val="19"/>
              </w:rPr>
              <w:t xml:space="preserve"> A customer opens a Buyer App (BAP) and searches for "nasi goreng near me". The BAP queries CDS, which returns matching items from all connected Seller Apps — including our warung.</w:t>
            </w:r>
          </w:p>
        </w:tc>
      </w:tr>
      <w:tr>
        <w:tc>
          <w:tcPr>
            <w:tcBorders>
              <w:top w:val="single" w:color="D97706" w:sz="1"/>
              <w:left w:val="single" w:color="D97706" w:sz="1"/>
              <w:bottom w:val="single" w:color="D97706" w:sz="1"/>
              <w:right w:val="single" w:color="D97706" w:sz="1"/>
            </w:tcBorders>
            <w:shd w:fill="FEF3C7" w:val="clear"/>
            <w:tcMar>
              <w:top w:type="dxa" w:w="60"/>
              <w:left w:type="dxa" w:w="200"/>
              <w:bottom w:type="dxa" w:w="60"/>
              <w:right w:type="dxa" w:w="160"/>
            </w:tcMar>
          </w:tcPr>
          <w:p>
            <w:pPr>
              <w:spacing w:before="0" w:after="40"/>
              <w:jc w:val="left"/>
            </w:pPr>
            <w:r>
              <w:rPr>
                <w:rFonts w:ascii="Arial" w:cs="Arial" w:eastAsia="Arial" w:hAnsi="Arial"/>
                <w:b/>
                <w:bCs/>
                <w:sz w:val="19"/>
                <w:szCs w:val="19"/>
              </w:rPr>
              <w:t xml:space="preserve">Transact:</w:t>
            </w:r>
            <w:r>
              <w:rPr>
                <w:rFonts w:ascii="Arial" w:cs="Arial" w:eastAsia="Arial" w:hAnsi="Arial"/>
                <w:sz w:val="19"/>
                <w:szCs w:val="19"/>
              </w:rPr>
              <w:t xml:space="preserve"> The customer selects an item. From this point, the BAP communicates directly with the Seller App through the standard Beckn sequence: select → init → confirm → status. The warung receives the order and fulfils it.</w:t>
            </w:r>
          </w:p>
        </w:tc>
      </w:tr>
    </w:tbl>
    <w:p>
      <w:pPr>
        <w:spacing w:before="80" w:after="0"/>
      </w:pPr>
    </w:p>
    <w:p>
      <w:pPr>
        <w:pBdr>
          <w:bottom w:val="single" w:color="CBD5E1" w:sz="6" w:space="1"/>
        </w:pBdr>
        <w:spacing w:before="200" w:after="40"/>
      </w:pPr>
    </w:p>
    <w:p>
      <w:pPr>
        <w:pStyle w:val="Heading1"/>
        <w:spacing w:before="0" w:after="100"/>
        <w:jc w:val="left"/>
      </w:pPr>
      <w:r>
        <w:rPr>
          <w:rFonts w:ascii="Arial" w:cs="Arial" w:eastAsia="Arial" w:hAnsi="Arial"/>
          <w:sz w:val="20"/>
          <w:szCs w:val="20"/>
        </w:rPr>
        <w:t xml:space="preserve">2.  Purpose of This Document</w:t>
      </w:r>
    </w:p>
    <w:p>
      <w:pPr>
        <w:spacing w:before="0" w:after="80"/>
        <w:jc w:val="left"/>
      </w:pPr>
      <w:r>
        <w:rPr>
          <w:rFonts w:ascii="Arial" w:cs="Arial" w:eastAsia="Arial" w:hAnsi="Arial"/>
          <w:sz w:val="20"/>
          <w:szCs w:val="20"/>
        </w:rPr>
        <w:t xml:space="preserve">Beckn Protocol 2.0 is a general-purpose open network protocol. It is not designed specifically for Indonesia. To operate ION on Beckn 2.0, significant specification work must be done to:</w:t>
      </w:r>
    </w:p>
    <w:p>
      <w:pPr>
        <w:pStyle w:val="ListParagraph"/>
        <w:numPr>
          <w:ilvl w:val="0"/>
          <w:numId w:val="2"/>
        </w:numPr>
        <w:spacing w:before="0" w:after="80"/>
      </w:pPr>
      <w:r>
        <w:rPr>
          <w:rFonts w:ascii="Arial" w:cs="Arial" w:eastAsia="Arial" w:hAnsi="Arial"/>
          <w:sz w:val="20"/>
          <w:szCs w:val="20"/>
        </w:rPr>
        <w:t xml:space="preserve">Define Indonesian identity, regulatory, and payment fields as first-class schema elements — not workarounds or free-text tags.</w:t>
      </w:r>
    </w:p>
    <w:p>
      <w:pPr>
        <w:pStyle w:val="ListParagraph"/>
        <w:numPr>
          <w:ilvl w:val="0"/>
          <w:numId w:val="2"/>
        </w:numPr>
        <w:spacing w:before="0" w:after="80"/>
      </w:pPr>
      <w:r>
        <w:rPr>
          <w:rFonts w:ascii="Arial" w:cs="Arial" w:eastAsia="Arial" w:hAnsi="Arial"/>
          <w:sz w:val="20"/>
          <w:szCs w:val="20"/>
        </w:rPr>
        <w:t xml:space="preserve">Author six sector-specific schema packs covering the full range of goods, services, and transactions ION participants need to represent.</w:t>
      </w:r>
    </w:p>
    <w:p>
      <w:pPr>
        <w:pStyle w:val="ListParagraph"/>
        <w:numPr>
          <w:ilvl w:val="0"/>
          <w:numId w:val="2"/>
        </w:numPr>
        <w:spacing w:before="0" w:after="80"/>
      </w:pPr>
      <w:r>
        <w:rPr>
          <w:rFonts w:ascii="Arial" w:cs="Arial" w:eastAsia="Arial" w:hAnsi="Arial"/>
          <w:sz w:val="20"/>
          <w:szCs w:val="20"/>
        </w:rPr>
        <w:t xml:space="preserve">Write Indonesia-specific transaction flows that handle cross-sector journeys, archipelago logistics, embedded finance, and offline scenarios.</w:t>
      </w:r>
    </w:p>
    <w:p>
      <w:pPr>
        <w:pStyle w:val="ListParagraph"/>
        <w:numPr>
          <w:ilvl w:val="0"/>
          <w:numId w:val="2"/>
        </w:numPr>
        <w:spacing w:before="0" w:after="80"/>
      </w:pPr>
      <w:r>
        <w:rPr>
          <w:rFonts w:ascii="Arial" w:cs="Arial" w:eastAsia="Arial" w:hAnsi="Arial"/>
          <w:sz w:val="20"/>
          <w:szCs w:val="20"/>
        </w:rPr>
        <w:t xml:space="preserve">Configure the network's discovery, validation, and governance layers for Indonesian market conditions.</w:t>
      </w:r>
    </w:p>
    <w:p>
      <w:pPr>
        <w:spacing w:before="100" w:after="0"/>
      </w:pPr>
    </w:p>
    <w:p>
      <w:pPr>
        <w:spacing w:before="0" w:after="100"/>
        <w:jc w:val="left"/>
      </w:pPr>
      <w:r>
        <w:rPr>
          <w:rFonts w:ascii="Arial" w:cs="Arial" w:eastAsia="Arial" w:hAnsi="Arial"/>
          <w:sz w:val="20"/>
          <w:szCs w:val="20"/>
        </w:rPr>
        <w:t xml:space="preserve">This document identifies the 10 categories of specification work required, the sub-activities within each, and which TSP types are responsible for or involved in each category. It is intended as the primary reference for scoping work assignments to ION's Type 1 ISVs (protocol infrastructure), Type 2 TSPs (sector anchors), and the ION Core team.</w:t>
      </w:r>
    </w:p>
    <w:p>
      <w:pPr>
        <w:pBdr>
          <w:bottom w:val="single" w:color="CBD5E1" w:sz="6" w:space="1"/>
        </w:pBdr>
        <w:spacing w:before="200" w:after="40"/>
      </w:pPr>
    </w:p>
    <w:p>
      <w:pPr>
        <w:pStyle w:val="Heading1"/>
        <w:spacing w:before="0" w:after="100"/>
        <w:jc w:val="left"/>
      </w:pPr>
      <w:r>
        <w:rPr>
          <w:rFonts w:ascii="Arial" w:cs="Arial" w:eastAsia="Arial" w:hAnsi="Arial"/>
          <w:sz w:val="20"/>
          <w:szCs w:val="20"/>
        </w:rPr>
        <w:t xml:space="preserve">3.  Who Does This Work</w:t>
      </w:r>
    </w:p>
    <w:p>
      <w:pPr>
        <w:spacing w:before="0" w:after="120"/>
        <w:jc w:val="left"/>
      </w:pPr>
      <w:r>
        <w:rPr>
          <w:rFonts w:ascii="Arial" w:cs="Arial" w:eastAsia="Arial" w:hAnsi="Arial"/>
          <w:sz w:val="20"/>
          <w:szCs w:val="20"/>
        </w:rPr>
        <w:t xml:space="preserve">ION's TSP structure has three tiers. Each tier plays a distinct role in specification and implementation:</w:t>
      </w:r>
    </w:p>
    <w:p>
      <w:pPr>
        <w:pStyle w:val="ListParagraph"/>
        <w:numPr>
          <w:ilvl w:val="0"/>
          <w:numId w:val="2"/>
        </w:numPr>
        <w:spacing w:before="0" w:after="80"/>
      </w:pPr>
      <w:r>
        <w:rPr>
          <w:rFonts w:ascii="Arial" w:cs="Arial" w:eastAsia="Arial" w:hAnsi="Arial"/>
          <w:b/>
          <w:bCs/>
          <w:color w:val="1A2B4C"/>
          <w:sz w:val="20"/>
          <w:szCs w:val="20"/>
        </w:rPr>
        <w:t xml:space="preserve">Type 1 ISVs</w:t>
      </w:r>
      <w:r>
        <w:rPr>
          <w:rFonts w:ascii="Arial" w:cs="Arial" w:eastAsia="Arial" w:hAnsi="Arial"/>
          <w:sz w:val="20"/>
          <w:szCs w:val="20"/>
        </w:rPr>
        <w:t xml:space="preserve"> (e.g. Remegis, Ayantram) — Build and operate the foundational protocol layer: ONIX runtime, CDS infrastructure, DeDi registry, and authentication. They implement the specification but also co-author the infrastructure-level specs (Categories 1, 8, 9).</w:t>
      </w:r>
    </w:p>
    <w:p>
      <w:pPr>
        <w:pStyle w:val="ListParagraph"/>
        <w:numPr>
          <w:ilvl w:val="0"/>
          <w:numId w:val="2"/>
        </w:numPr>
        <w:spacing w:before="0" w:after="80"/>
      </w:pPr>
      <w:r>
        <w:rPr>
          <w:rFonts w:ascii="Arial" w:cs="Arial" w:eastAsia="Arial" w:hAnsi="Arial"/>
          <w:b/>
          <w:bCs/>
          <w:color w:val="1A2B4C"/>
          <w:sz w:val="20"/>
          <w:szCs w:val="20"/>
        </w:rPr>
        <w:t xml:space="preserve">Type 2 TSPs — Sector Anchors</w:t>
      </w:r>
      <w:r>
        <w:rPr>
          <w:rFonts w:ascii="Arial" w:cs="Arial" w:eastAsia="Arial" w:hAnsi="Arial"/>
          <w:sz w:val="20"/>
          <w:szCs w:val="20"/>
        </w:rPr>
        <w:t xml:space="preserve"> (e.g. Pidge for Logistics, EasyPay/Bayar Cepat for Finance) — Domain specialists who anchor a specific sector. They co-author the schema packs and transaction flows for their domain (Categories 2, 4, 5, 7).</w:t>
      </w:r>
    </w:p>
    <w:p>
      <w:pPr>
        <w:pStyle w:val="ListParagraph"/>
        <w:numPr>
          <w:ilvl w:val="0"/>
          <w:numId w:val="2"/>
        </w:numPr>
        <w:spacing w:before="0" w:after="80"/>
      </w:pPr>
      <w:r>
        <w:rPr>
          <w:rFonts w:ascii="Arial" w:cs="Arial" w:eastAsia="Arial" w:hAnsi="Arial"/>
          <w:b/>
          <w:bCs/>
          <w:color w:val="1A2B4C"/>
          <w:sz w:val="20"/>
          <w:szCs w:val="20"/>
        </w:rPr>
        <w:t xml:space="preserve">Type 3 NPs — Network Participants</w:t>
      </w:r>
      <w:r>
        <w:rPr>
          <w:rFonts w:ascii="Arial" w:cs="Arial" w:eastAsia="Arial" w:hAnsi="Arial"/>
          <w:sz w:val="20"/>
          <w:szCs w:val="20"/>
        </w:rPr>
        <w:t xml:space="preserve"> — Existing businesses with running applications (Buyer Apps, Seller Apps) who implement the published specifications. They are the primary consumers of what Categories 1–10 define.</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700"/>
        <w:gridCol w:w="3060"/>
      </w:tblGrid>
      <w:tr>
        <w:trPr>
          <w:tblHeader/>
        </w:trPr>
        <w:tc>
          <w:tcPr>
            <w:tcW w:type="dxa" w:w="2600"/>
            <w:tcBorders>
              <w:top w:val="single" w:color="CBD5E1" w:sz="1"/>
              <w:left w:val="single" w:color="CBD5E1" w:sz="1"/>
              <w:bottom w:val="single" w:color="CBD5E1" w:sz="1"/>
              <w:right w:val="single" w:color="CBD5E1" w:sz="1"/>
            </w:tcBorders>
            <w:shd w:fill="1A2B4C" w:val="clear"/>
            <w:tcMar>
              <w:top w:type="dxa" w:w="80"/>
              <w:left w:type="dxa" w:w="120"/>
              <w:bottom w:type="dxa" w:w="80"/>
              <w:right w:type="dxa" w:w="120"/>
            </w:tcMar>
            <w:vAlign w:val="top"/>
          </w:tcPr>
          <w:p>
            <w:pPr>
              <w:spacing w:before="0" w:after="100"/>
              <w:jc w:val="left"/>
            </w:pPr>
            <w:r>
              <w:rPr>
                <w:rFonts w:ascii="Arial" w:cs="Arial" w:eastAsia="Arial" w:hAnsi="Arial"/>
                <w:b/>
                <w:bCs/>
                <w:color w:val="FFFFFF"/>
                <w:sz w:val="18"/>
                <w:szCs w:val="18"/>
              </w:rPr>
              <w:t xml:space="preserve">Specification Category</w:t>
            </w:r>
          </w:p>
        </w:tc>
        <w:tc>
          <w:tcPr>
            <w:tcW w:type="dxa" w:w="3700"/>
            <w:tcBorders>
              <w:top w:val="single" w:color="CBD5E1" w:sz="1"/>
              <w:left w:val="single" w:color="CBD5E1" w:sz="1"/>
              <w:bottom w:val="single" w:color="CBD5E1" w:sz="1"/>
              <w:right w:val="single" w:color="CBD5E1" w:sz="1"/>
            </w:tcBorders>
            <w:shd w:fill="1A2B4C" w:val="clear"/>
            <w:tcMar>
              <w:top w:type="dxa" w:w="80"/>
              <w:left w:type="dxa" w:w="120"/>
              <w:bottom w:type="dxa" w:w="80"/>
              <w:right w:type="dxa" w:w="120"/>
            </w:tcMar>
            <w:vAlign w:val="top"/>
          </w:tcPr>
          <w:p>
            <w:pPr>
              <w:spacing w:before="0" w:after="100"/>
              <w:jc w:val="left"/>
            </w:pPr>
            <w:r>
              <w:rPr>
                <w:rFonts w:ascii="Arial" w:cs="Arial" w:eastAsia="Arial" w:hAnsi="Arial"/>
                <w:b/>
                <w:bCs/>
                <w:color w:val="FFFFFF"/>
                <w:sz w:val="18"/>
                <w:szCs w:val="18"/>
              </w:rPr>
              <w:t xml:space="preserve">Primary Owner</w:t>
            </w:r>
          </w:p>
        </w:tc>
        <w:tc>
          <w:tcPr>
            <w:tcW w:type="dxa" w:w="3060"/>
            <w:tcBorders>
              <w:top w:val="single" w:color="CBD5E1" w:sz="1"/>
              <w:left w:val="single" w:color="CBD5E1" w:sz="1"/>
              <w:bottom w:val="single" w:color="CBD5E1" w:sz="1"/>
              <w:right w:val="single" w:color="CBD5E1" w:sz="1"/>
            </w:tcBorders>
            <w:shd w:fill="1A2B4C" w:val="clear"/>
            <w:tcMar>
              <w:top w:type="dxa" w:w="80"/>
              <w:left w:type="dxa" w:w="120"/>
              <w:bottom w:type="dxa" w:w="80"/>
              <w:right w:type="dxa" w:w="120"/>
            </w:tcMar>
            <w:vAlign w:val="top"/>
          </w:tcPr>
          <w:p>
            <w:pPr>
              <w:spacing w:before="0" w:after="100"/>
              <w:jc w:val="left"/>
            </w:pPr>
            <w:r>
              <w:rPr>
                <w:rFonts w:ascii="Arial" w:cs="Arial" w:eastAsia="Arial" w:hAnsi="Arial"/>
                <w:b/>
                <w:bCs/>
                <w:color w:val="FFFFFF"/>
                <w:sz w:val="18"/>
                <w:szCs w:val="18"/>
              </w:rPr>
              <w:t xml:space="preserve">TSP Involvement</w:t>
            </w:r>
          </w:p>
        </w:tc>
      </w:tr>
      <w:tr>
        <w:trPr>
          <w:tblHeader w:val="false"/>
        </w:trPr>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before="0" w:after="100"/>
              <w:jc w:val="left"/>
            </w:pPr>
            <w:r>
              <w:rPr>
                <w:rFonts w:ascii="Arial" w:cs="Arial" w:eastAsia="Arial" w:hAnsi="Arial"/>
                <w:b w:val="false"/>
                <w:bCs w:val="false"/>
                <w:color w:val="1A2B4C"/>
                <w:sz w:val="18"/>
                <w:szCs w:val="18"/>
              </w:rPr>
              <w:t xml:space="preserve">1. Identity &amp; Registry</w:t>
            </w:r>
          </w:p>
        </w:tc>
        <w:tc>
          <w:tcPr>
            <w:tcW w:type="dxa" w:w="3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before="0" w:after="100"/>
              <w:jc w:val="left"/>
            </w:pPr>
            <w:r>
              <w:rPr>
                <w:rFonts w:ascii="Arial" w:cs="Arial" w:eastAsia="Arial" w:hAnsi="Arial"/>
                <w:b w:val="false"/>
                <w:bCs w:val="false"/>
                <w:color w:val="1A2B4C"/>
                <w:sz w:val="18"/>
                <w:szCs w:val="18"/>
              </w:rPr>
              <w:t xml:space="preserve">ION Core + Type 1 ISV (Remegis / Ayantram)</w:t>
            </w:r>
          </w:p>
        </w:tc>
        <w:tc>
          <w:tcPr>
            <w:tcW w:type="dxa" w:w="30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before="0" w:after="100"/>
              <w:jc w:val="left"/>
            </w:pPr>
            <w:r>
              <w:rPr>
                <w:rFonts w:ascii="Arial" w:cs="Arial" w:eastAsia="Arial" w:hAnsi="Arial"/>
                <w:b w:val="false"/>
                <w:bCs w:val="false"/>
                <w:color w:val="1A2B4C"/>
                <w:sz w:val="18"/>
                <w:szCs w:val="18"/>
              </w:rPr>
              <w:t xml:space="preserve">Consumed by all TSPs</w:t>
            </w:r>
          </w:p>
        </w:tc>
      </w:tr>
      <w:tr>
        <w:trPr>
          <w:tblHeader w:val="false"/>
        </w:trP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color w:val="1A2B4C"/>
                <w:sz w:val="18"/>
                <w:szCs w:val="18"/>
              </w:rPr>
              <w:t xml:space="preserve">2. Sector Schema Packs</w:t>
            </w:r>
          </w:p>
        </w:tc>
        <w:tc>
          <w:tcPr>
            <w:tcW w:type="dxa" w:w="3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color w:val="1A2B4C"/>
                <w:sz w:val="18"/>
                <w:szCs w:val="18"/>
              </w:rPr>
              <w:t xml:space="preserve">ION Core + Type 2 sector-anchor TSPs</w:t>
            </w:r>
          </w:p>
        </w:tc>
        <w:tc>
          <w:tcPr>
            <w:tcW w:type="dxa" w:w="3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color w:val="1A2B4C"/>
                <w:sz w:val="18"/>
                <w:szCs w:val="18"/>
              </w:rPr>
              <w:t xml:space="preserve">Built on by Type 3 NPs</w:t>
            </w:r>
          </w:p>
        </w:tc>
      </w:tr>
      <w:tr>
        <w:trPr>
          <w:tblHeader w:val="false"/>
        </w:trPr>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before="0" w:after="100"/>
              <w:jc w:val="left"/>
            </w:pPr>
            <w:r>
              <w:rPr>
                <w:rFonts w:ascii="Arial" w:cs="Arial" w:eastAsia="Arial" w:hAnsi="Arial"/>
                <w:b w:val="false"/>
                <w:bCs w:val="false"/>
                <w:color w:val="1A2B4C"/>
                <w:sz w:val="18"/>
                <w:szCs w:val="18"/>
              </w:rPr>
              <w:t xml:space="preserve">3. Regulatory Compliance</w:t>
            </w:r>
          </w:p>
        </w:tc>
        <w:tc>
          <w:tcPr>
            <w:tcW w:type="dxa" w:w="3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before="0" w:after="100"/>
              <w:jc w:val="left"/>
            </w:pPr>
            <w:r>
              <w:rPr>
                <w:rFonts w:ascii="Arial" w:cs="Arial" w:eastAsia="Arial" w:hAnsi="Arial"/>
                <w:b w:val="false"/>
                <w:bCs w:val="false"/>
                <w:color w:val="1A2B4C"/>
                <w:sz w:val="18"/>
                <w:szCs w:val="18"/>
              </w:rPr>
              <w:t xml:space="preserve">ION Core + OJK / BI liaison</w:t>
            </w:r>
          </w:p>
        </w:tc>
        <w:tc>
          <w:tcPr>
            <w:tcW w:type="dxa" w:w="30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before="0" w:after="100"/>
              <w:jc w:val="left"/>
            </w:pPr>
            <w:r>
              <w:rPr>
                <w:rFonts w:ascii="Arial" w:cs="Arial" w:eastAsia="Arial" w:hAnsi="Arial"/>
                <w:b w:val="false"/>
                <w:bCs w:val="false"/>
                <w:color w:val="1A2B4C"/>
                <w:sz w:val="18"/>
                <w:szCs w:val="18"/>
              </w:rPr>
              <w:t xml:space="preserve">Enforced on all participants</w:t>
            </w:r>
          </w:p>
        </w:tc>
      </w:tr>
      <w:tr>
        <w:trPr>
          <w:tblHeader w:val="false"/>
        </w:trP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color w:val="1A2B4C"/>
                <w:sz w:val="18"/>
                <w:szCs w:val="18"/>
              </w:rPr>
              <w:t xml:space="preserve">4. Payment &amp; Settlement</w:t>
            </w:r>
          </w:p>
        </w:tc>
        <w:tc>
          <w:tcPr>
            <w:tcW w:type="dxa" w:w="3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color w:val="1A2B4C"/>
                <w:sz w:val="18"/>
                <w:szCs w:val="18"/>
              </w:rPr>
              <w:t xml:space="preserve">Type 2 TSP — Finance/Payment anchor</w:t>
            </w:r>
          </w:p>
        </w:tc>
        <w:tc>
          <w:tcPr>
            <w:tcW w:type="dxa" w:w="3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color w:val="1A2B4C"/>
                <w:sz w:val="18"/>
                <w:szCs w:val="18"/>
              </w:rPr>
              <w:t xml:space="preserve">Used by all Buyer/Seller Apps</w:t>
            </w:r>
          </w:p>
        </w:tc>
      </w:tr>
      <w:tr>
        <w:trPr>
          <w:tblHeader w:val="false"/>
        </w:trPr>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before="0" w:after="100"/>
              <w:jc w:val="left"/>
            </w:pPr>
            <w:r>
              <w:rPr>
                <w:rFonts w:ascii="Arial" w:cs="Arial" w:eastAsia="Arial" w:hAnsi="Arial"/>
                <w:b w:val="false"/>
                <w:bCs w:val="false"/>
                <w:color w:val="1A2B4C"/>
                <w:sz w:val="18"/>
                <w:szCs w:val="18"/>
              </w:rPr>
              <w:t xml:space="preserve">5. Geographic &amp; Fulfilment</w:t>
            </w:r>
          </w:p>
        </w:tc>
        <w:tc>
          <w:tcPr>
            <w:tcW w:type="dxa" w:w="3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before="0" w:after="100"/>
              <w:jc w:val="left"/>
            </w:pPr>
            <w:r>
              <w:rPr>
                <w:rFonts w:ascii="Arial" w:cs="Arial" w:eastAsia="Arial" w:hAnsi="Arial"/>
                <w:b w:val="false"/>
                <w:bCs w:val="false"/>
                <w:color w:val="1A2B4C"/>
                <w:sz w:val="18"/>
                <w:szCs w:val="18"/>
              </w:rPr>
              <w:t xml:space="preserve">Type 2 TSP — Logistics anchor (Pidge)</w:t>
            </w:r>
          </w:p>
        </w:tc>
        <w:tc>
          <w:tcPr>
            <w:tcW w:type="dxa" w:w="30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before="0" w:after="100"/>
              <w:jc w:val="left"/>
            </w:pPr>
            <w:r>
              <w:rPr>
                <w:rFonts w:ascii="Arial" w:cs="Arial" w:eastAsia="Arial" w:hAnsi="Arial"/>
                <w:b w:val="false"/>
                <w:bCs w:val="false"/>
                <w:color w:val="1A2B4C"/>
                <w:sz w:val="18"/>
                <w:szCs w:val="18"/>
              </w:rPr>
              <w:t xml:space="preserve">Sector-specific NPs</w:t>
            </w:r>
          </w:p>
        </w:tc>
      </w:tr>
      <w:tr>
        <w:trPr>
          <w:tblHeader w:val="false"/>
        </w:trP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color w:val="1A2B4C"/>
                <w:sz w:val="18"/>
                <w:szCs w:val="18"/>
              </w:rPr>
              <w:t xml:space="preserve">6. Localisation &amp; Language</w:t>
            </w:r>
          </w:p>
        </w:tc>
        <w:tc>
          <w:tcPr>
            <w:tcW w:type="dxa" w:w="3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color w:val="1A2B4C"/>
                <w:sz w:val="18"/>
                <w:szCs w:val="18"/>
              </w:rPr>
              <w:t xml:space="preserve">ION Core + Type 1 ISV</w:t>
            </w:r>
          </w:p>
        </w:tc>
        <w:tc>
          <w:tcPr>
            <w:tcW w:type="dxa" w:w="3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color w:val="1A2B4C"/>
                <w:sz w:val="18"/>
                <w:szCs w:val="18"/>
              </w:rPr>
              <w:t xml:space="preserve">All Buyer/Seller Apps</w:t>
            </w:r>
          </w:p>
        </w:tc>
      </w:tr>
      <w:tr>
        <w:trPr>
          <w:tblHeader w:val="false"/>
        </w:trPr>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before="0" w:after="100"/>
              <w:jc w:val="left"/>
            </w:pPr>
            <w:r>
              <w:rPr>
                <w:rFonts w:ascii="Arial" w:cs="Arial" w:eastAsia="Arial" w:hAnsi="Arial"/>
                <w:b w:val="false"/>
                <w:bCs w:val="false"/>
                <w:color w:val="1A2B4C"/>
                <w:sz w:val="18"/>
                <w:szCs w:val="18"/>
              </w:rPr>
              <w:t xml:space="preserve">7. Transaction Flows</w:t>
            </w:r>
          </w:p>
        </w:tc>
        <w:tc>
          <w:tcPr>
            <w:tcW w:type="dxa" w:w="3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before="0" w:after="100"/>
              <w:jc w:val="left"/>
            </w:pPr>
            <w:r>
              <w:rPr>
                <w:rFonts w:ascii="Arial" w:cs="Arial" w:eastAsia="Arial" w:hAnsi="Arial"/>
                <w:b w:val="false"/>
                <w:bCs w:val="false"/>
                <w:color w:val="1A2B4C"/>
                <w:sz w:val="18"/>
                <w:szCs w:val="18"/>
              </w:rPr>
              <w:t xml:space="preserve">ION Core + Type 2 sector-anchor TSPs</w:t>
            </w:r>
          </w:p>
        </w:tc>
        <w:tc>
          <w:tcPr>
            <w:tcW w:type="dxa" w:w="30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before="0" w:after="100"/>
              <w:jc w:val="left"/>
            </w:pPr>
            <w:r>
              <w:rPr>
                <w:rFonts w:ascii="Arial" w:cs="Arial" w:eastAsia="Arial" w:hAnsi="Arial"/>
                <w:b w:val="false"/>
                <w:bCs w:val="false"/>
                <w:color w:val="1A2B4C"/>
                <w:sz w:val="18"/>
                <w:szCs w:val="18"/>
              </w:rPr>
              <w:t xml:space="preserve">All participant types</w:t>
            </w:r>
          </w:p>
        </w:tc>
      </w:tr>
      <w:tr>
        <w:trPr>
          <w:tblHeader w:val="false"/>
        </w:trP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color w:val="1A2B4C"/>
                <w:sz w:val="18"/>
                <w:szCs w:val="18"/>
              </w:rPr>
              <w:t xml:space="preserve">8. ONIX Validation Rules</w:t>
            </w:r>
          </w:p>
        </w:tc>
        <w:tc>
          <w:tcPr>
            <w:tcW w:type="dxa" w:w="3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color w:val="1A2B4C"/>
                <w:sz w:val="18"/>
                <w:szCs w:val="18"/>
              </w:rPr>
              <w:t xml:space="preserve">Type 1 ISV (Remegis / Ayantram)</w:t>
            </w:r>
          </w:p>
        </w:tc>
        <w:tc>
          <w:tcPr>
            <w:tcW w:type="dxa" w:w="3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color w:val="1A2B4C"/>
                <w:sz w:val="18"/>
                <w:szCs w:val="18"/>
              </w:rPr>
              <w:t xml:space="preserve">Enforced on all participants</w:t>
            </w:r>
          </w:p>
        </w:tc>
      </w:tr>
      <w:tr>
        <w:trPr>
          <w:tblHeader w:val="false"/>
        </w:trPr>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before="0" w:after="100"/>
              <w:jc w:val="left"/>
            </w:pPr>
            <w:r>
              <w:rPr>
                <w:rFonts w:ascii="Arial" w:cs="Arial" w:eastAsia="Arial" w:hAnsi="Arial"/>
                <w:b w:val="false"/>
                <w:bCs w:val="false"/>
                <w:color w:val="1A2B4C"/>
                <w:sz w:val="18"/>
                <w:szCs w:val="18"/>
              </w:rPr>
              <w:t xml:space="preserve">9. CDS Configuration</w:t>
            </w:r>
          </w:p>
        </w:tc>
        <w:tc>
          <w:tcPr>
            <w:tcW w:type="dxa" w:w="3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before="0" w:after="100"/>
              <w:jc w:val="left"/>
            </w:pPr>
            <w:r>
              <w:rPr>
                <w:rFonts w:ascii="Arial" w:cs="Arial" w:eastAsia="Arial" w:hAnsi="Arial"/>
                <w:b w:val="false"/>
                <w:bCs w:val="false"/>
                <w:color w:val="1A2B4C"/>
                <w:sz w:val="18"/>
                <w:szCs w:val="18"/>
              </w:rPr>
              <w:t xml:space="preserve">Type 1 ISV + ION Core</w:t>
            </w:r>
          </w:p>
        </w:tc>
        <w:tc>
          <w:tcPr>
            <w:tcW w:type="dxa" w:w="30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before="0" w:after="100"/>
              <w:jc w:val="left"/>
            </w:pPr>
            <w:r>
              <w:rPr>
                <w:rFonts w:ascii="Arial" w:cs="Arial" w:eastAsia="Arial" w:hAnsi="Arial"/>
                <w:b w:val="false"/>
                <w:bCs w:val="false"/>
                <w:color w:val="1A2B4C"/>
                <w:sz w:val="18"/>
                <w:szCs w:val="18"/>
              </w:rPr>
              <w:t xml:space="preserve">Buyer Apps primary consumers</w:t>
            </w:r>
          </w:p>
        </w:tc>
      </w:tr>
      <w:tr>
        <w:trPr>
          <w:tblHeader w:val="false"/>
        </w:trP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color w:val="1A2B4C"/>
                <w:sz w:val="18"/>
                <w:szCs w:val="18"/>
              </w:rPr>
              <w:t xml:space="preserve">10. Governance &amp; Policy</w:t>
            </w:r>
          </w:p>
        </w:tc>
        <w:tc>
          <w:tcPr>
            <w:tcW w:type="dxa" w:w="3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color w:val="1A2B4C"/>
                <w:sz w:val="18"/>
                <w:szCs w:val="18"/>
              </w:rPr>
              <w:t xml:space="preserve">ION Core</w:t>
            </w:r>
          </w:p>
        </w:tc>
        <w:tc>
          <w:tcPr>
            <w:tcW w:type="dxa" w:w="3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color w:val="1A2B4C"/>
                <w:sz w:val="18"/>
                <w:szCs w:val="18"/>
              </w:rPr>
              <w:t xml:space="preserve">All participants</w:t>
            </w:r>
          </w:p>
        </w:tc>
      </w:tr>
    </w:tbl>
    <w:p>
      <w:pPr>
        <w:spacing w:before="80" w:after="0"/>
      </w:pPr>
    </w:p>
    <w:p>
      <w:pPr>
        <w:pBdr>
          <w:bottom w:val="single" w:color="CBD5E1" w:sz="6" w:space="1"/>
        </w:pBdr>
        <w:spacing w:before="200" w:after="40"/>
      </w:pPr>
    </w:p>
    <w:p>
      <w:pPr>
        <w:pStyle w:val="Heading1"/>
        <w:spacing w:before="0" w:after="100"/>
        <w:jc w:val="left"/>
      </w:pPr>
      <w:r>
        <w:rPr>
          <w:rFonts w:ascii="Arial" w:cs="Arial" w:eastAsia="Arial" w:hAnsi="Arial"/>
          <w:sz w:val="20"/>
          <w:szCs w:val="20"/>
        </w:rPr>
        <w:t xml:space="preserve">4.  The 10 Specification Categories —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100"/>
        <w:gridCol w:w="4200"/>
        <w:gridCol w:w="2560"/>
      </w:tblGrid>
      <w:tr>
        <w:trPr>
          <w:tblHeader/>
        </w:trPr>
        <w:tc>
          <w:tcPr>
            <w:tcW w:type="dxa" w:w="500"/>
            <w:tcBorders>
              <w:top w:val="single" w:color="CBD5E1" w:sz="1"/>
              <w:left w:val="single" w:color="CBD5E1" w:sz="1"/>
              <w:bottom w:val="single" w:color="CBD5E1" w:sz="1"/>
              <w:right w:val="single" w:color="CBD5E1" w:sz="1"/>
            </w:tcBorders>
            <w:shd w:fill="1A2B4C" w:val="clear"/>
            <w:tcMar>
              <w:top w:type="dxa" w:w="80"/>
              <w:left w:type="dxa" w:w="120"/>
              <w:bottom w:type="dxa" w:w="80"/>
              <w:right w:type="dxa" w:w="120"/>
            </w:tcMar>
            <w:vAlign w:val="top"/>
          </w:tcPr>
          <w:p>
            <w:pPr>
              <w:spacing w:before="0" w:after="100"/>
              <w:jc w:val="left"/>
            </w:pPr>
            <w:r>
              <w:rPr>
                <w:rFonts w:ascii="Arial" w:cs="Arial" w:eastAsia="Arial" w:hAnsi="Arial"/>
                <w:b/>
                <w:bCs/>
                <w:color w:val="FFFFFF"/>
                <w:sz w:val="18"/>
                <w:szCs w:val="18"/>
              </w:rPr>
              <w:t xml:space="preserve">#</w:t>
            </w:r>
          </w:p>
        </w:tc>
        <w:tc>
          <w:tcPr>
            <w:tcW w:type="dxa" w:w="2100"/>
            <w:tcBorders>
              <w:top w:val="single" w:color="CBD5E1" w:sz="1"/>
              <w:left w:val="single" w:color="CBD5E1" w:sz="1"/>
              <w:bottom w:val="single" w:color="CBD5E1" w:sz="1"/>
              <w:right w:val="single" w:color="CBD5E1" w:sz="1"/>
            </w:tcBorders>
            <w:shd w:fill="1A2B4C" w:val="clear"/>
            <w:tcMar>
              <w:top w:type="dxa" w:w="80"/>
              <w:left w:type="dxa" w:w="120"/>
              <w:bottom w:type="dxa" w:w="80"/>
              <w:right w:type="dxa" w:w="120"/>
            </w:tcMar>
            <w:vAlign w:val="top"/>
          </w:tcPr>
          <w:p>
            <w:pPr>
              <w:spacing w:before="0" w:after="100"/>
              <w:jc w:val="left"/>
            </w:pPr>
            <w:r>
              <w:rPr>
                <w:rFonts w:ascii="Arial" w:cs="Arial" w:eastAsia="Arial" w:hAnsi="Arial"/>
                <w:b/>
                <w:bCs/>
                <w:color w:val="FFFFFF"/>
                <w:sz w:val="18"/>
                <w:szCs w:val="18"/>
              </w:rPr>
              <w:t xml:space="preserve">Category</w:t>
            </w:r>
          </w:p>
        </w:tc>
        <w:tc>
          <w:tcPr>
            <w:tcW w:type="dxa" w:w="4200"/>
            <w:tcBorders>
              <w:top w:val="single" w:color="CBD5E1" w:sz="1"/>
              <w:left w:val="single" w:color="CBD5E1" w:sz="1"/>
              <w:bottom w:val="single" w:color="CBD5E1" w:sz="1"/>
              <w:right w:val="single" w:color="CBD5E1" w:sz="1"/>
            </w:tcBorders>
            <w:shd w:fill="1A2B4C" w:val="clear"/>
            <w:tcMar>
              <w:top w:type="dxa" w:w="80"/>
              <w:left w:type="dxa" w:w="120"/>
              <w:bottom w:type="dxa" w:w="80"/>
              <w:right w:type="dxa" w:w="120"/>
            </w:tcMar>
            <w:vAlign w:val="top"/>
          </w:tcPr>
          <w:p>
            <w:pPr>
              <w:spacing w:before="0" w:after="100"/>
              <w:jc w:val="left"/>
            </w:pPr>
            <w:r>
              <w:rPr>
                <w:rFonts w:ascii="Arial" w:cs="Arial" w:eastAsia="Arial" w:hAnsi="Arial"/>
                <w:b/>
                <w:bCs/>
                <w:color w:val="FFFFFF"/>
                <w:sz w:val="18"/>
                <w:szCs w:val="18"/>
              </w:rPr>
              <w:t xml:space="preserve">Key Output</w:t>
            </w:r>
          </w:p>
        </w:tc>
        <w:tc>
          <w:tcPr>
            <w:tcW w:type="dxa" w:w="2560"/>
            <w:tcBorders>
              <w:top w:val="single" w:color="CBD5E1" w:sz="1"/>
              <w:left w:val="single" w:color="CBD5E1" w:sz="1"/>
              <w:bottom w:val="single" w:color="CBD5E1" w:sz="1"/>
              <w:right w:val="single" w:color="CBD5E1" w:sz="1"/>
            </w:tcBorders>
            <w:shd w:fill="1A2B4C" w:val="clear"/>
            <w:tcMar>
              <w:top w:type="dxa" w:w="80"/>
              <w:left w:type="dxa" w:w="120"/>
              <w:bottom w:type="dxa" w:w="80"/>
              <w:right w:type="dxa" w:w="120"/>
            </w:tcMar>
            <w:vAlign w:val="top"/>
          </w:tcPr>
          <w:p>
            <w:pPr>
              <w:spacing w:before="0" w:after="100"/>
              <w:jc w:val="left"/>
            </w:pPr>
            <w:r>
              <w:rPr>
                <w:rFonts w:ascii="Arial" w:cs="Arial" w:eastAsia="Arial" w:hAnsi="Arial"/>
                <w:b/>
                <w:bCs/>
                <w:color w:val="FFFFFF"/>
                <w:sz w:val="18"/>
                <w:szCs w:val="18"/>
              </w:rPr>
              <w:t xml:space="preserve">Primary Owner</w:t>
            </w:r>
          </w:p>
        </w:tc>
      </w:tr>
      <w:tr>
        <w:trPr>
          <w:tblHeader w:val="false"/>
        </w:trPr>
        <w:tc>
          <w:tcPr>
            <w:tcW w:type="dxa" w:w="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before="0" w:after="100"/>
              <w:jc w:val="left"/>
            </w:pPr>
            <w:r>
              <w:rPr>
                <w:rFonts w:ascii="Arial" w:cs="Arial" w:eastAsia="Arial" w:hAnsi="Arial"/>
                <w:b w:val="false"/>
                <w:bCs w:val="false"/>
                <w:color w:val="0D9488"/>
                <w:sz w:val="18"/>
                <w:szCs w:val="18"/>
              </w:rPr>
              <w:t xml:space="preserve">1</w:t>
            </w:r>
          </w:p>
        </w:tc>
        <w:tc>
          <w:tcPr>
            <w:tcW w:type="dxa" w:w="21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before="0" w:after="100"/>
              <w:jc w:val="left"/>
            </w:pPr>
            <w:r>
              <w:rPr>
                <w:rFonts w:ascii="Arial" w:cs="Arial" w:eastAsia="Arial" w:hAnsi="Arial"/>
                <w:b w:val="false"/>
                <w:bCs w:val="false"/>
                <w:color w:val="1A2B4C"/>
                <w:sz w:val="18"/>
                <w:szCs w:val="18"/>
              </w:rPr>
              <w:t xml:space="preserve">Identity &amp; Registry</w:t>
            </w:r>
          </w:p>
        </w:tc>
        <w:tc>
          <w:tcPr>
            <w:tcW w:type="dxa" w:w="4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before="0" w:after="100"/>
              <w:jc w:val="left"/>
            </w:pPr>
            <w:r>
              <w:rPr>
                <w:rFonts w:ascii="Arial" w:cs="Arial" w:eastAsia="Arial" w:hAnsi="Arial"/>
                <w:b w:val="false"/>
                <w:bCs w:val="false"/>
                <w:color w:val="1A2B4C"/>
                <w:sz w:val="18"/>
                <w:szCs w:val="18"/>
              </w:rPr>
              <w:t xml:space="preserve">ION registry schema + DeDi field definitions</w:t>
            </w:r>
          </w:p>
        </w:tc>
        <w:tc>
          <w:tcPr>
            <w:tcW w:type="dxa" w:w="2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before="0" w:after="100"/>
              <w:jc w:val="left"/>
            </w:pPr>
            <w:r>
              <w:rPr>
                <w:rFonts w:ascii="Arial" w:cs="Arial" w:eastAsia="Arial" w:hAnsi="Arial"/>
                <w:b w:val="false"/>
                <w:bCs w:val="false"/>
                <w:color w:val="1A2B4C"/>
                <w:sz w:val="18"/>
                <w:szCs w:val="18"/>
              </w:rPr>
              <w:t xml:space="preserve">ION Core + Type 1 ISV</w:t>
            </w:r>
          </w:p>
        </w:tc>
      </w:tr>
      <w:tr>
        <w:trPr>
          <w:tblHeader w:val="false"/>
        </w:trPr>
        <w:tc>
          <w:tcPr>
            <w:tcW w:type="dxa" w:w="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color w:val="0D9488"/>
                <w:sz w:val="18"/>
                <w:szCs w:val="18"/>
              </w:rPr>
              <w:t xml:space="preserve">2</w:t>
            </w:r>
          </w:p>
        </w:tc>
        <w:tc>
          <w:tcPr>
            <w:tcW w:type="dxa" w:w="2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color w:val="1A2B4C"/>
                <w:sz w:val="18"/>
                <w:szCs w:val="18"/>
              </w:rPr>
              <w:t xml:space="preserve">Sector Schema Packs</w:t>
            </w:r>
          </w:p>
        </w:tc>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color w:val="1A2B4C"/>
                <w:sz w:val="18"/>
                <w:szCs w:val="18"/>
              </w:rPr>
              <w:t xml:space="preserve">6 JSON-LD schema packs (one per sector)</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color w:val="1A2B4C"/>
                <w:sz w:val="18"/>
                <w:szCs w:val="18"/>
              </w:rPr>
              <w:t xml:space="preserve">ION Core + Type 2 TSPs</w:t>
            </w:r>
          </w:p>
        </w:tc>
      </w:tr>
      <w:tr>
        <w:trPr>
          <w:tblHeader w:val="false"/>
        </w:trPr>
        <w:tc>
          <w:tcPr>
            <w:tcW w:type="dxa" w:w="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before="0" w:after="100"/>
              <w:jc w:val="left"/>
            </w:pPr>
            <w:r>
              <w:rPr>
                <w:rFonts w:ascii="Arial" w:cs="Arial" w:eastAsia="Arial" w:hAnsi="Arial"/>
                <w:b w:val="false"/>
                <w:bCs w:val="false"/>
                <w:color w:val="0D9488"/>
                <w:sz w:val="18"/>
                <w:szCs w:val="18"/>
              </w:rPr>
              <w:t xml:space="preserve">3</w:t>
            </w:r>
          </w:p>
        </w:tc>
        <w:tc>
          <w:tcPr>
            <w:tcW w:type="dxa" w:w="21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before="0" w:after="100"/>
              <w:jc w:val="left"/>
            </w:pPr>
            <w:r>
              <w:rPr>
                <w:rFonts w:ascii="Arial" w:cs="Arial" w:eastAsia="Arial" w:hAnsi="Arial"/>
                <w:b w:val="false"/>
                <w:bCs w:val="false"/>
                <w:color w:val="1A2B4C"/>
                <w:sz w:val="18"/>
                <w:szCs w:val="18"/>
              </w:rPr>
              <w:t xml:space="preserve">Regulatory Compliance</w:t>
            </w:r>
          </w:p>
        </w:tc>
        <w:tc>
          <w:tcPr>
            <w:tcW w:type="dxa" w:w="4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before="0" w:after="100"/>
              <w:jc w:val="left"/>
            </w:pPr>
            <w:r>
              <w:rPr>
                <w:rFonts w:ascii="Arial" w:cs="Arial" w:eastAsia="Arial" w:hAnsi="Arial"/>
                <w:b w:val="false"/>
                <w:bCs w:val="false"/>
                <w:color w:val="1A2B4C"/>
                <w:sz w:val="18"/>
                <w:szCs w:val="18"/>
              </w:rPr>
              <w:t xml:space="preserve">Halal, BPOM, OJK, UU PDP, BI attribute specs</w:t>
            </w:r>
          </w:p>
        </w:tc>
        <w:tc>
          <w:tcPr>
            <w:tcW w:type="dxa" w:w="2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before="0" w:after="100"/>
              <w:jc w:val="left"/>
            </w:pPr>
            <w:r>
              <w:rPr>
                <w:rFonts w:ascii="Arial" w:cs="Arial" w:eastAsia="Arial" w:hAnsi="Arial"/>
                <w:b w:val="false"/>
                <w:bCs w:val="false"/>
                <w:color w:val="1A2B4C"/>
                <w:sz w:val="18"/>
                <w:szCs w:val="18"/>
              </w:rPr>
              <w:t xml:space="preserve">ION Core + Regulatory</w:t>
            </w:r>
          </w:p>
        </w:tc>
      </w:tr>
      <w:tr>
        <w:trPr>
          <w:tblHeader w:val="false"/>
        </w:trPr>
        <w:tc>
          <w:tcPr>
            <w:tcW w:type="dxa" w:w="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color w:val="0D9488"/>
                <w:sz w:val="18"/>
                <w:szCs w:val="18"/>
              </w:rPr>
              <w:t xml:space="preserve">4</w:t>
            </w:r>
          </w:p>
        </w:tc>
        <w:tc>
          <w:tcPr>
            <w:tcW w:type="dxa" w:w="2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color w:val="1A2B4C"/>
                <w:sz w:val="18"/>
                <w:szCs w:val="18"/>
              </w:rPr>
              <w:t xml:space="preserve">Payment &amp; Settlement</w:t>
            </w:r>
          </w:p>
        </w:tc>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color w:val="1A2B4C"/>
                <w:sz w:val="18"/>
                <w:szCs w:val="18"/>
              </w:rPr>
              <w:t xml:space="preserve">QRIS + BI-FAST payment/settlement definitions</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color w:val="1A2B4C"/>
                <w:sz w:val="18"/>
                <w:szCs w:val="18"/>
              </w:rPr>
              <w:t xml:space="preserve">Type 2 TSP (Payment)</w:t>
            </w:r>
          </w:p>
        </w:tc>
      </w:tr>
      <w:tr>
        <w:trPr>
          <w:tblHeader w:val="false"/>
        </w:trPr>
        <w:tc>
          <w:tcPr>
            <w:tcW w:type="dxa" w:w="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before="0" w:after="100"/>
              <w:jc w:val="left"/>
            </w:pPr>
            <w:r>
              <w:rPr>
                <w:rFonts w:ascii="Arial" w:cs="Arial" w:eastAsia="Arial" w:hAnsi="Arial"/>
                <w:b w:val="false"/>
                <w:bCs w:val="false"/>
                <w:color w:val="0D9488"/>
                <w:sz w:val="18"/>
                <w:szCs w:val="18"/>
              </w:rPr>
              <w:t xml:space="preserve">5</w:t>
            </w:r>
          </w:p>
        </w:tc>
        <w:tc>
          <w:tcPr>
            <w:tcW w:type="dxa" w:w="21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before="0" w:after="100"/>
              <w:jc w:val="left"/>
            </w:pPr>
            <w:r>
              <w:rPr>
                <w:rFonts w:ascii="Arial" w:cs="Arial" w:eastAsia="Arial" w:hAnsi="Arial"/>
                <w:b w:val="false"/>
                <w:bCs w:val="false"/>
                <w:color w:val="1A2B4C"/>
                <w:sz w:val="18"/>
                <w:szCs w:val="18"/>
              </w:rPr>
              <w:t xml:space="preserve">Geographic &amp; Fulfilment</w:t>
            </w:r>
          </w:p>
        </w:tc>
        <w:tc>
          <w:tcPr>
            <w:tcW w:type="dxa" w:w="4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before="0" w:after="100"/>
              <w:jc w:val="left"/>
            </w:pPr>
            <w:r>
              <w:rPr>
                <w:rFonts w:ascii="Arial" w:cs="Arial" w:eastAsia="Arial" w:hAnsi="Arial"/>
                <w:b w:val="false"/>
                <w:bCs w:val="false"/>
                <w:color w:val="1A2B4C"/>
                <w:sz w:val="18"/>
                <w:szCs w:val="18"/>
              </w:rPr>
              <w:t xml:space="preserve">Archipelago location + inter-island fulfilment schema</w:t>
            </w:r>
          </w:p>
        </w:tc>
        <w:tc>
          <w:tcPr>
            <w:tcW w:type="dxa" w:w="2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before="0" w:after="100"/>
              <w:jc w:val="left"/>
            </w:pPr>
            <w:r>
              <w:rPr>
                <w:rFonts w:ascii="Arial" w:cs="Arial" w:eastAsia="Arial" w:hAnsi="Arial"/>
                <w:b w:val="false"/>
                <w:bCs w:val="false"/>
                <w:color w:val="1A2B4C"/>
                <w:sz w:val="18"/>
                <w:szCs w:val="18"/>
              </w:rPr>
              <w:t xml:space="preserve">Type 2 TSP (Logistics)</w:t>
            </w:r>
          </w:p>
        </w:tc>
      </w:tr>
      <w:tr>
        <w:trPr>
          <w:tblHeader w:val="false"/>
        </w:trPr>
        <w:tc>
          <w:tcPr>
            <w:tcW w:type="dxa" w:w="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color w:val="0D9488"/>
                <w:sz w:val="18"/>
                <w:szCs w:val="18"/>
              </w:rPr>
              <w:t xml:space="preserve">6</w:t>
            </w:r>
          </w:p>
        </w:tc>
        <w:tc>
          <w:tcPr>
            <w:tcW w:type="dxa" w:w="2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color w:val="1A2B4C"/>
                <w:sz w:val="18"/>
                <w:szCs w:val="18"/>
              </w:rPr>
              <w:t xml:space="preserve">Localisation &amp; Language</w:t>
            </w:r>
          </w:p>
        </w:tc>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color w:val="1A2B4C"/>
                <w:sz w:val="18"/>
                <w:szCs w:val="18"/>
              </w:rPr>
              <w:t xml:space="preserve">Multi-language field spec + Indonesian vocabulary</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color w:val="1A2B4C"/>
                <w:sz w:val="18"/>
                <w:szCs w:val="18"/>
              </w:rPr>
              <w:t xml:space="preserve">ION Core + Type 1 ISV</w:t>
            </w:r>
          </w:p>
        </w:tc>
      </w:tr>
      <w:tr>
        <w:trPr>
          <w:tblHeader w:val="false"/>
        </w:trPr>
        <w:tc>
          <w:tcPr>
            <w:tcW w:type="dxa" w:w="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before="0" w:after="100"/>
              <w:jc w:val="left"/>
            </w:pPr>
            <w:r>
              <w:rPr>
                <w:rFonts w:ascii="Arial" w:cs="Arial" w:eastAsia="Arial" w:hAnsi="Arial"/>
                <w:b w:val="false"/>
                <w:bCs w:val="false"/>
                <w:color w:val="0D9488"/>
                <w:sz w:val="18"/>
                <w:szCs w:val="18"/>
              </w:rPr>
              <w:t xml:space="preserve">7</w:t>
            </w:r>
          </w:p>
        </w:tc>
        <w:tc>
          <w:tcPr>
            <w:tcW w:type="dxa" w:w="21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before="0" w:after="100"/>
              <w:jc w:val="left"/>
            </w:pPr>
            <w:r>
              <w:rPr>
                <w:rFonts w:ascii="Arial" w:cs="Arial" w:eastAsia="Arial" w:hAnsi="Arial"/>
                <w:b w:val="false"/>
                <w:bCs w:val="false"/>
                <w:color w:val="1A2B4C"/>
                <w:sz w:val="18"/>
                <w:szCs w:val="18"/>
              </w:rPr>
              <w:t xml:space="preserve">Transaction Flows</w:t>
            </w:r>
          </w:p>
        </w:tc>
        <w:tc>
          <w:tcPr>
            <w:tcW w:type="dxa" w:w="4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before="0" w:after="100"/>
              <w:jc w:val="left"/>
            </w:pPr>
            <w:r>
              <w:rPr>
                <w:rFonts w:ascii="Arial" w:cs="Arial" w:eastAsia="Arial" w:hAnsi="Arial"/>
                <w:b w:val="false"/>
                <w:bCs w:val="false"/>
                <w:color w:val="1A2B4C"/>
                <w:sz w:val="18"/>
                <w:szCs w:val="18"/>
              </w:rPr>
              <w:t xml:space="preserve">6 end-to-end flow specifications</w:t>
            </w:r>
          </w:p>
        </w:tc>
        <w:tc>
          <w:tcPr>
            <w:tcW w:type="dxa" w:w="2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before="0" w:after="100"/>
              <w:jc w:val="left"/>
            </w:pPr>
            <w:r>
              <w:rPr>
                <w:rFonts w:ascii="Arial" w:cs="Arial" w:eastAsia="Arial" w:hAnsi="Arial"/>
                <w:b w:val="false"/>
                <w:bCs w:val="false"/>
                <w:color w:val="1A2B4C"/>
                <w:sz w:val="18"/>
                <w:szCs w:val="18"/>
              </w:rPr>
              <w:t xml:space="preserve">ION Core + Type 2 TSPs</w:t>
            </w:r>
          </w:p>
        </w:tc>
      </w:tr>
      <w:tr>
        <w:trPr>
          <w:tblHeader w:val="false"/>
        </w:trPr>
        <w:tc>
          <w:tcPr>
            <w:tcW w:type="dxa" w:w="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color w:val="0D9488"/>
                <w:sz w:val="18"/>
                <w:szCs w:val="18"/>
              </w:rPr>
              <w:t xml:space="preserve">8</w:t>
            </w:r>
          </w:p>
        </w:tc>
        <w:tc>
          <w:tcPr>
            <w:tcW w:type="dxa" w:w="2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color w:val="1A2B4C"/>
                <w:sz w:val="18"/>
                <w:szCs w:val="18"/>
              </w:rPr>
              <w:t xml:space="preserve">ONIX Validation Rules</w:t>
            </w:r>
          </w:p>
        </w:tc>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color w:val="1A2B4C"/>
                <w:sz w:val="18"/>
                <w:szCs w:val="18"/>
              </w:rPr>
              <w:t xml:space="preserve">Sector rule packs + enforcement spec</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color w:val="1A2B4C"/>
                <w:sz w:val="18"/>
                <w:szCs w:val="18"/>
              </w:rPr>
              <w:t xml:space="preserve">Type 1 ISV + ION Core</w:t>
            </w:r>
          </w:p>
        </w:tc>
      </w:tr>
      <w:tr>
        <w:trPr>
          <w:tblHeader w:val="false"/>
        </w:trPr>
        <w:tc>
          <w:tcPr>
            <w:tcW w:type="dxa" w:w="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before="0" w:after="100"/>
              <w:jc w:val="left"/>
            </w:pPr>
            <w:r>
              <w:rPr>
                <w:rFonts w:ascii="Arial" w:cs="Arial" w:eastAsia="Arial" w:hAnsi="Arial"/>
                <w:b w:val="false"/>
                <w:bCs w:val="false"/>
                <w:color w:val="0D9488"/>
                <w:sz w:val="18"/>
                <w:szCs w:val="18"/>
              </w:rPr>
              <w:t xml:space="preserve">9</w:t>
            </w:r>
          </w:p>
        </w:tc>
        <w:tc>
          <w:tcPr>
            <w:tcW w:type="dxa" w:w="21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before="0" w:after="100"/>
              <w:jc w:val="left"/>
            </w:pPr>
            <w:r>
              <w:rPr>
                <w:rFonts w:ascii="Arial" w:cs="Arial" w:eastAsia="Arial" w:hAnsi="Arial"/>
                <w:b w:val="false"/>
                <w:bCs w:val="false"/>
                <w:color w:val="1A2B4C"/>
                <w:sz w:val="18"/>
                <w:szCs w:val="18"/>
              </w:rPr>
              <w:t xml:space="preserve">CDS Configuration</w:t>
            </w:r>
          </w:p>
        </w:tc>
        <w:tc>
          <w:tcPr>
            <w:tcW w:type="dxa" w:w="4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before="0" w:after="100"/>
              <w:jc w:val="left"/>
            </w:pPr>
            <w:r>
              <w:rPr>
                <w:rFonts w:ascii="Arial" w:cs="Arial" w:eastAsia="Arial" w:hAnsi="Arial"/>
                <w:b w:val="false"/>
                <w:bCs w:val="false"/>
                <w:color w:val="1A2B4C"/>
                <w:sz w:val="18"/>
                <w:szCs w:val="18"/>
              </w:rPr>
              <w:t xml:space="preserve">Discovery ranking, filtering, indexing spec</w:t>
            </w:r>
          </w:p>
        </w:tc>
        <w:tc>
          <w:tcPr>
            <w:tcW w:type="dxa" w:w="2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before="0" w:after="100"/>
              <w:jc w:val="left"/>
            </w:pPr>
            <w:r>
              <w:rPr>
                <w:rFonts w:ascii="Arial" w:cs="Arial" w:eastAsia="Arial" w:hAnsi="Arial"/>
                <w:b w:val="false"/>
                <w:bCs w:val="false"/>
                <w:color w:val="1A2B4C"/>
                <w:sz w:val="18"/>
                <w:szCs w:val="18"/>
              </w:rPr>
              <w:t xml:space="preserve">Type 1 ISV + ION Core</w:t>
            </w:r>
          </w:p>
        </w:tc>
      </w:tr>
      <w:tr>
        <w:trPr>
          <w:tblHeader w:val="false"/>
        </w:trPr>
        <w:tc>
          <w:tcPr>
            <w:tcW w:type="dxa" w:w="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color w:val="0D9488"/>
                <w:sz w:val="18"/>
                <w:szCs w:val="18"/>
              </w:rPr>
              <w:t xml:space="preserve">10</w:t>
            </w:r>
          </w:p>
        </w:tc>
        <w:tc>
          <w:tcPr>
            <w:tcW w:type="dxa" w:w="2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color w:val="1A2B4C"/>
                <w:sz w:val="18"/>
                <w:szCs w:val="18"/>
              </w:rPr>
              <w:t xml:space="preserve">Governance &amp; Policy</w:t>
            </w:r>
          </w:p>
        </w:tc>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color w:val="1A2B4C"/>
                <w:sz w:val="18"/>
                <w:szCs w:val="18"/>
              </w:rPr>
              <w:t xml:space="preserve">Certification, versioning, dispute, fee policy</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color w:val="1A2B4C"/>
                <w:sz w:val="18"/>
                <w:szCs w:val="18"/>
              </w:rPr>
              <w:t xml:space="preserve">ION Core</w:t>
            </w:r>
          </w:p>
        </w:tc>
      </w:tr>
    </w:tbl>
    <w:p>
      <w:pPr>
        <w:spacing w:before="80" w:after="0"/>
      </w:pPr>
    </w:p>
    <w:p>
      <w:pPr>
        <w:pBdr>
          <w:bottom w:val="single" w:color="CBD5E1" w:sz="6" w:space="1"/>
        </w:pBdr>
        <w:spacing w:before="200" w:after="40"/>
      </w:pPr>
    </w:p>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Borders>
              <w:top w:val="none" w:color="FFFFFF" w:sz="0"/>
              <w:left w:val="none" w:color="FFFFFF" w:sz="0"/>
              <w:bottom w:val="none" w:color="FFFFFF" w:sz="0"/>
              <w:right w:val="none" w:color="FFFFFF" w:sz="0"/>
            </w:tcBorders>
            <w:shd w:fill="0D9488" w:val="clear"/>
            <w:tcMar>
              <w:top w:type="dxa" w:w="120"/>
              <w:left w:type="dxa" w:w="160"/>
              <w:bottom w:type="dxa" w:w="120"/>
              <w:right w:type="dxa" w:w="160"/>
            </w:tcMar>
            <w:vAlign w:val="center"/>
          </w:tcPr>
          <w:p>
            <w:pPr>
              <w:spacing w:before="0" w:after="100"/>
              <w:jc w:val="center"/>
            </w:pPr>
            <w:r>
              <w:rPr>
                <w:rFonts w:ascii="Arial" w:cs="Arial" w:eastAsia="Arial" w:hAnsi="Arial"/>
                <w:b/>
                <w:bCs/>
                <w:color w:val="FFFFFF"/>
                <w:sz w:val="28"/>
                <w:szCs w:val="28"/>
              </w:rPr>
              <w:t xml:space="preserve">1</w:t>
            </w:r>
          </w:p>
        </w:tc>
        <w:tc>
          <w:tcPr>
            <w:tcBorders>
              <w:top w:val="single" w:color="0D9488" w:sz="1"/>
              <w:left w:val="single" w:color="0D9488" w:sz="1"/>
              <w:bottom w:val="single" w:color="0D9488" w:sz="1"/>
              <w:right w:val="single" w:color="0D9488" w:sz="1"/>
            </w:tcBorders>
            <w:shd w:fill="1A2B4C" w:val="clear"/>
            <w:tcMar>
              <w:top w:type="dxa" w:w="120"/>
              <w:left w:type="dxa" w:w="200"/>
              <w:bottom w:type="dxa" w:w="120"/>
              <w:right w:type="dxa" w:w="160"/>
            </w:tcMar>
            <w:vAlign w:val="center"/>
          </w:tcPr>
          <w:p>
            <w:pPr>
              <w:spacing w:before="0" w:after="100"/>
              <w:jc w:val="left"/>
            </w:pPr>
            <w:r>
              <w:rPr>
                <w:rFonts w:ascii="Arial" w:cs="Arial" w:eastAsia="Arial" w:hAnsi="Arial"/>
                <w:b/>
                <w:bCs/>
                <w:color w:val="FFFFFF"/>
                <w:sz w:val="26"/>
                <w:szCs w:val="26"/>
              </w:rPr>
              <w:t xml:space="preserve">Identity &amp; Registry Extensions</w:t>
            </w:r>
          </w:p>
        </w:tc>
      </w:tr>
    </w:tbl>
    <w:p>
      <w:pPr>
        <w:spacing w:before="80" w:after="0"/>
      </w:pPr>
    </w:p>
    <w:p>
      <w:pPr>
        <w:spacing w:before="0" w:after="100"/>
        <w:jc w:val="left"/>
      </w:pPr>
      <w:r>
        <w:rPr>
          <w:rFonts w:ascii="Arial" w:cs="Arial" w:eastAsia="Arial" w:hAnsi="Arial"/>
          <w:sz w:val="20"/>
          <w:szCs w:val="20"/>
        </w:rPr>
        <w:t xml:space="preserve">Additions to the DeDi-compliant Beckn 2.0 Network Registry to incorporate Indonesia's national digital identity infrastructure as first-class fields — not optional tags.</w:t>
      </w:r>
    </w:p>
    <w:p>
      <w:pPr>
        <w:spacing w:before="0" w:after="120"/>
        <w:jc w:val="left"/>
      </w:pPr>
      <w:r>
        <w:rPr>
          <w:rFonts w:ascii="Arial" w:cs="Arial" w:eastAsia="Arial" w:hAnsi="Arial"/>
          <w:sz w:val="20"/>
          <w:szCs w:val="20"/>
        </w:rPr>
        <w:t xml:space="preserve">Beckn 2.0's DeDi registry stores participant metadata: DID, endpoints, signing keys, and capabilities. For ION, Indonesian regulatory and identity fields must be part of that registry record so that onboarding, compliance gating, and trust verification all function automatically at the protocol layer.</w:t>
      </w:r>
    </w:p>
    <w:p>
      <w:pPr>
        <w:pStyle w:val="ListParagraph"/>
        <w:numPr>
          <w:ilvl w:val="0"/>
          <w:numId w:val="2"/>
        </w:numPr>
        <w:spacing w:before="0" w:after="80"/>
      </w:pPr>
      <w:r>
        <w:rPr>
          <w:rFonts w:ascii="Arial" w:cs="Arial" w:eastAsia="Arial" w:hAnsi="Arial"/>
          <w:sz w:val="20"/>
          <w:szCs w:val="20"/>
        </w:rPr>
        <w:t xml:space="preserve">Define </w:t>
      </w:r>
      <w:r>
        <w:rPr>
          <w:rFonts w:ascii="Arial" w:cs="Arial" w:eastAsia="Arial" w:hAnsi="Arial"/>
          <w:b/>
          <w:bCs/>
          <w:sz w:val="20"/>
          <w:szCs w:val="20"/>
        </w:rPr>
        <w:t xml:space="preserve">NIK (e-KTP)</w:t>
      </w:r>
      <w:r>
        <w:rPr>
          <w:rFonts w:ascii="Arial" w:cs="Arial" w:eastAsia="Arial" w:hAnsi="Arial"/>
          <w:sz w:val="20"/>
          <w:szCs w:val="20"/>
        </w:rPr>
        <w:t xml:space="preserve"> as a required participant identity field across all registry records</w:t>
      </w:r>
    </w:p>
    <w:p>
      <w:pPr>
        <w:pStyle w:val="ListParagraph"/>
        <w:numPr>
          <w:ilvl w:val="0"/>
          <w:numId w:val="2"/>
        </w:numPr>
        <w:spacing w:before="0" w:after="80"/>
      </w:pPr>
      <w:r>
        <w:rPr>
          <w:rFonts w:ascii="Arial" w:cs="Arial" w:eastAsia="Arial" w:hAnsi="Arial"/>
          <w:sz w:val="20"/>
          <w:szCs w:val="20"/>
        </w:rPr>
        <w:t xml:space="preserve">Define </w:t>
      </w:r>
      <w:r>
        <w:rPr>
          <w:rFonts w:ascii="Arial" w:cs="Arial" w:eastAsia="Arial" w:hAnsi="Arial"/>
          <w:b/>
          <w:bCs/>
          <w:sz w:val="20"/>
          <w:szCs w:val="20"/>
        </w:rPr>
        <w:t xml:space="preserve">NIB</w:t>
      </w:r>
      <w:r>
        <w:rPr>
          <w:rFonts w:ascii="Arial" w:cs="Arial" w:eastAsia="Arial" w:hAnsi="Arial"/>
          <w:sz w:val="20"/>
          <w:szCs w:val="20"/>
        </w:rPr>
        <w:t xml:space="preserve"> (Nomor Induk Berusaha) as a required field for all Seller App records before production activation</w:t>
      </w:r>
    </w:p>
    <w:p>
      <w:pPr>
        <w:pStyle w:val="ListParagraph"/>
        <w:numPr>
          <w:ilvl w:val="0"/>
          <w:numId w:val="2"/>
        </w:numPr>
        <w:spacing w:before="0" w:after="80"/>
      </w:pPr>
      <w:r>
        <w:rPr>
          <w:rFonts w:ascii="Arial" w:cs="Arial" w:eastAsia="Arial" w:hAnsi="Arial"/>
          <w:sz w:val="20"/>
          <w:szCs w:val="20"/>
        </w:rPr>
        <w:t xml:space="preserve">Define </w:t>
      </w:r>
      <w:r>
        <w:rPr>
          <w:rFonts w:ascii="Arial" w:cs="Arial" w:eastAsia="Arial" w:hAnsi="Arial"/>
          <w:b/>
          <w:bCs/>
          <w:sz w:val="20"/>
          <w:szCs w:val="20"/>
        </w:rPr>
        <w:t xml:space="preserve">QRIS Merchant ID</w:t>
      </w:r>
      <w:r>
        <w:rPr>
          <w:rFonts w:ascii="Arial" w:cs="Arial" w:eastAsia="Arial" w:hAnsi="Arial"/>
          <w:sz w:val="20"/>
          <w:szCs w:val="20"/>
        </w:rPr>
        <w:t xml:space="preserve"> as a required payment configuration field on all Seller App records</w:t>
      </w:r>
    </w:p>
    <w:p>
      <w:pPr>
        <w:pStyle w:val="ListParagraph"/>
        <w:numPr>
          <w:ilvl w:val="0"/>
          <w:numId w:val="2"/>
        </w:numPr>
        <w:spacing w:before="0" w:after="80"/>
      </w:pPr>
      <w:r>
        <w:rPr>
          <w:rFonts w:ascii="Arial" w:cs="Arial" w:eastAsia="Arial" w:hAnsi="Arial"/>
          <w:sz w:val="20"/>
          <w:szCs w:val="20"/>
        </w:rPr>
        <w:t xml:space="preserve">Define </w:t>
      </w:r>
      <w:r>
        <w:rPr>
          <w:rFonts w:ascii="Arial" w:cs="Arial" w:eastAsia="Arial" w:hAnsi="Arial"/>
          <w:b/>
          <w:bCs/>
          <w:sz w:val="20"/>
          <w:szCs w:val="20"/>
        </w:rPr>
        <w:t xml:space="preserve">OJK Licence Number</w:t>
      </w:r>
      <w:r>
        <w:rPr>
          <w:rFonts w:ascii="Arial" w:cs="Arial" w:eastAsia="Arial" w:hAnsi="Arial"/>
          <w:sz w:val="20"/>
          <w:szCs w:val="20"/>
        </w:rPr>
        <w:t xml:space="preserve"> as a required registry field for any Finance sector participant</w:t>
      </w:r>
    </w:p>
    <w:p>
      <w:pPr>
        <w:pStyle w:val="ListParagraph"/>
        <w:numPr>
          <w:ilvl w:val="0"/>
          <w:numId w:val="2"/>
        </w:numPr>
        <w:spacing w:before="0" w:after="80"/>
      </w:pPr>
      <w:r>
        <w:rPr>
          <w:rFonts w:ascii="Arial" w:cs="Arial" w:eastAsia="Arial" w:hAnsi="Arial"/>
          <w:sz w:val="20"/>
          <w:szCs w:val="20"/>
        </w:rPr>
        <w:t xml:space="preserve">Define </w:t>
      </w:r>
      <w:r>
        <w:rPr>
          <w:rFonts w:ascii="Arial" w:cs="Arial" w:eastAsia="Arial" w:hAnsi="Arial"/>
          <w:b/>
          <w:bCs/>
          <w:sz w:val="20"/>
          <w:szCs w:val="20"/>
        </w:rPr>
        <w:t xml:space="preserve">KYC Level</w:t>
      </w:r>
      <w:r>
        <w:rPr>
          <w:rFonts w:ascii="Arial" w:cs="Arial" w:eastAsia="Arial" w:hAnsi="Arial"/>
          <w:sz w:val="20"/>
          <w:szCs w:val="20"/>
        </w:rPr>
        <w:t xml:space="preserve"> enum (basic / full) on Buyer App user context — used to gate Finance sector product access</w:t>
      </w:r>
    </w:p>
    <w:p>
      <w:pPr>
        <w:pStyle w:val="ListParagraph"/>
        <w:numPr>
          <w:ilvl w:val="0"/>
          <w:numId w:val="2"/>
        </w:numPr>
        <w:spacing w:before="0" w:after="80"/>
      </w:pPr>
      <w:r>
        <w:rPr>
          <w:rFonts w:ascii="Arial" w:cs="Arial" w:eastAsia="Arial" w:hAnsi="Arial"/>
          <w:sz w:val="20"/>
          <w:szCs w:val="20"/>
        </w:rPr>
        <w:t xml:space="preserve">Define verification status flags: </w:t>
      </w:r>
      <w:r>
        <w:rPr>
          <w:rFonts w:ascii="Arial" w:cs="Arial" w:eastAsia="Arial" w:hAnsi="Arial"/>
          <w:b/>
          <w:bCs/>
          <w:sz w:val="19"/>
          <w:szCs w:val="19"/>
        </w:rPr>
        <w:t xml:space="preserve">ektp_verified, nib_verified, ojk_licensed, qris_registered</w:t>
      </w:r>
    </w:p>
    <w:p>
      <w:pPr>
        <w:pStyle w:val="ListParagraph"/>
        <w:numPr>
          <w:ilvl w:val="0"/>
          <w:numId w:val="2"/>
        </w:numPr>
        <w:spacing w:before="0" w:after="80"/>
      </w:pPr>
      <w:r>
        <w:rPr>
          <w:rFonts w:ascii="Arial" w:cs="Arial" w:eastAsia="Arial" w:hAnsi="Arial"/>
          <w:sz w:val="20"/>
          <w:szCs w:val="20"/>
        </w:rPr>
        <w:t xml:space="preserve">Define ION-specific participant role taxonomy within DeDi records: buyer_app, seller_app, tsp, with sector sub-roles</w:t>
      </w:r>
    </w:p>
    <w:p>
      <w:pPr>
        <w:pStyle w:val="ListParagraph"/>
        <w:numPr>
          <w:ilvl w:val="0"/>
          <w:numId w:val="2"/>
        </w:numPr>
        <w:spacing w:before="0" w:after="80"/>
      </w:pPr>
      <w:r>
        <w:rPr>
          <w:rFonts w:ascii="Arial" w:cs="Arial" w:eastAsia="Arial" w:hAnsi="Arial"/>
          <w:sz w:val="20"/>
          <w:szCs w:val="20"/>
        </w:rPr>
        <w:t xml:space="preserve">Write DeDi subscribe / update flow spec for the ION onboarding journey</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7706" w:sz="1"/>
              <w:left w:val="single" w:color="D97706" w:sz="1"/>
              <w:bottom w:val="single" w:color="D97706" w:sz="1"/>
              <w:right w:val="single" w:color="D97706" w:sz="1"/>
            </w:tcBorders>
            <w:shd w:fill="D97706" w:val="clear"/>
            <w:tcMar>
              <w:top w:type="dxa" w:w="80"/>
              <w:left w:type="dxa" w:w="160"/>
              <w:bottom w:type="dxa" w:w="80"/>
              <w:right w:type="dxa" w:w="160"/>
            </w:tcMar>
          </w:tcPr>
          <w:p>
            <w:pPr>
              <w:spacing w:before="0" w:after="100"/>
              <w:jc w:val="left"/>
            </w:pPr>
            <w:r>
              <w:rPr>
                <w:rFonts w:ascii="Arial" w:cs="Arial" w:eastAsia="Arial" w:hAnsi="Arial"/>
                <w:b/>
                <w:bCs/>
                <w:color w:val="FFFFFF"/>
                <w:sz w:val="19"/>
                <w:szCs w:val="19"/>
              </w:rPr>
              <w:t xml:space="preserve">📌  Example: Registry record for a warung Seller App</w:t>
            </w:r>
          </w:p>
        </w:tc>
      </w:tr>
      <w:tr>
        <w:tc>
          <w:tcPr>
            <w:tcBorders>
              <w:top w:val="single" w:color="D97706" w:sz="1"/>
              <w:left w:val="single" w:color="D97706" w:sz="1"/>
              <w:bottom w:val="single" w:color="D97706" w:sz="1"/>
              <w:right w:val="single" w:color="D97706" w:sz="1"/>
            </w:tcBorders>
            <w:shd w:fill="FEF3C7" w:val="clear"/>
            <w:tcMar>
              <w:top w:type="dxa" w:w="60"/>
              <w:left w:type="dxa" w:w="200"/>
              <w:bottom w:type="dxa" w:w="60"/>
              <w:right w:type="dxa" w:w="160"/>
            </w:tcMar>
          </w:tcPr>
          <w:p>
            <w:pPr>
              <w:spacing w:before="0" w:after="40"/>
              <w:jc w:val="left"/>
            </w:pPr>
            <w:r>
              <w:rPr>
                <w:rFonts w:ascii="Arial" w:cs="Arial" w:eastAsia="Arial" w:hAnsi="Arial"/>
                <w:sz w:val="19"/>
                <w:szCs w:val="19"/>
              </w:rPr>
              <w:t xml:space="preserve">A Seller App called "WarungKu" registers on ION. Its DeDi registry record must include:</w:t>
            </w:r>
          </w:p>
        </w:tc>
      </w:tr>
      <w:tr>
        <w:tc>
          <w:tcPr>
            <w:tcBorders>
              <w:top w:val="single" w:color="D97706" w:sz="1"/>
              <w:left w:val="single" w:color="D97706" w:sz="1"/>
              <w:bottom w:val="single" w:color="D97706" w:sz="1"/>
              <w:right w:val="single" w:color="D97706" w:sz="1"/>
            </w:tcBorders>
            <w:shd w:fill="FEF3C7" w:val="clear"/>
            <w:tcMar>
              <w:top w:type="dxa" w:w="60"/>
              <w:left w:type="dxa" w:w="200"/>
              <w:bottom w:type="dxa" w:w="60"/>
              <w:right w:type="dxa" w:w="160"/>
            </w:tcMar>
          </w:tcPr>
          <w:p>
            <w:pPr>
              <w:spacing w:before="0" w:after="40"/>
              <w:jc w:val="left"/>
            </w:pPr>
            <w:r>
              <w:rPr>
                <w:rFonts w:ascii="Arial" w:cs="Arial" w:eastAsia="Arial" w:hAnsi="Arial"/>
                <w:b/>
                <w:bCs/>
                <w:sz w:val="19"/>
                <w:szCs w:val="19"/>
              </w:rPr>
              <w:t xml:space="preserve">ektp_verified: true</w:t>
            </w:r>
            <w:r>
              <w:rPr>
                <w:rFonts w:ascii="Arial" w:cs="Arial" w:eastAsia="Arial" w:hAnsi="Arial"/>
                <w:sz w:val="19"/>
                <w:szCs w:val="19"/>
              </w:rPr>
              <w:t xml:space="preserve">  (authorised representative's e-KTP verified via Dukcapil)</w:t>
            </w:r>
          </w:p>
        </w:tc>
      </w:tr>
      <w:tr>
        <w:tc>
          <w:tcPr>
            <w:tcBorders>
              <w:top w:val="single" w:color="D97706" w:sz="1"/>
              <w:left w:val="single" w:color="D97706" w:sz="1"/>
              <w:bottom w:val="single" w:color="D97706" w:sz="1"/>
              <w:right w:val="single" w:color="D97706" w:sz="1"/>
            </w:tcBorders>
            <w:shd w:fill="FEF3C7" w:val="clear"/>
            <w:tcMar>
              <w:top w:type="dxa" w:w="60"/>
              <w:left w:type="dxa" w:w="200"/>
              <w:bottom w:type="dxa" w:w="60"/>
              <w:right w:type="dxa" w:w="160"/>
            </w:tcMar>
          </w:tcPr>
          <w:p>
            <w:pPr>
              <w:spacing w:before="0" w:after="40"/>
              <w:jc w:val="left"/>
            </w:pPr>
            <w:r>
              <w:rPr>
                <w:rFonts w:ascii="Arial" w:cs="Arial" w:eastAsia="Arial" w:hAnsi="Arial"/>
                <w:b/>
                <w:bCs/>
                <w:sz w:val="19"/>
                <w:szCs w:val="19"/>
              </w:rPr>
              <w:t xml:space="preserve">nib: 1234567890123456</w:t>
            </w:r>
            <w:r>
              <w:rPr>
                <w:rFonts w:ascii="Arial" w:cs="Arial" w:eastAsia="Arial" w:hAnsi="Arial"/>
                <w:sz w:val="19"/>
                <w:szCs w:val="19"/>
              </w:rPr>
              <w:t xml:space="preserve">  (business registration from OSS system)</w:t>
            </w:r>
          </w:p>
        </w:tc>
      </w:tr>
      <w:tr>
        <w:tc>
          <w:tcPr>
            <w:tcBorders>
              <w:top w:val="single" w:color="D97706" w:sz="1"/>
              <w:left w:val="single" w:color="D97706" w:sz="1"/>
              <w:bottom w:val="single" w:color="D97706" w:sz="1"/>
              <w:right w:val="single" w:color="D97706" w:sz="1"/>
            </w:tcBorders>
            <w:shd w:fill="FEF3C7" w:val="clear"/>
            <w:tcMar>
              <w:top w:type="dxa" w:w="60"/>
              <w:left w:type="dxa" w:w="200"/>
              <w:bottom w:type="dxa" w:w="60"/>
              <w:right w:type="dxa" w:w="160"/>
            </w:tcMar>
          </w:tcPr>
          <w:p>
            <w:pPr>
              <w:spacing w:before="0" w:after="40"/>
              <w:jc w:val="left"/>
            </w:pPr>
            <w:r>
              <w:rPr>
                <w:rFonts w:ascii="Arial" w:cs="Arial" w:eastAsia="Arial" w:hAnsi="Arial"/>
                <w:b/>
                <w:bCs/>
                <w:sz w:val="19"/>
                <w:szCs w:val="19"/>
              </w:rPr>
              <w:t xml:space="preserve">qris_merchant_id: ID.123456.789</w:t>
            </w:r>
            <w:r>
              <w:rPr>
                <w:rFonts w:ascii="Arial" w:cs="Arial" w:eastAsia="Arial" w:hAnsi="Arial"/>
                <w:sz w:val="19"/>
                <w:szCs w:val="19"/>
              </w:rPr>
              <w:t xml:space="preserve">  (Bank Indonesia-issued merchant identifier)</w:t>
            </w:r>
          </w:p>
        </w:tc>
      </w:tr>
      <w:tr>
        <w:tc>
          <w:tcPr>
            <w:tcBorders>
              <w:top w:val="single" w:color="D97706" w:sz="1"/>
              <w:left w:val="single" w:color="D97706" w:sz="1"/>
              <w:bottom w:val="single" w:color="D97706" w:sz="1"/>
              <w:right w:val="single" w:color="D97706" w:sz="1"/>
            </w:tcBorders>
            <w:shd w:fill="FEF3C7" w:val="clear"/>
            <w:tcMar>
              <w:top w:type="dxa" w:w="60"/>
              <w:left w:type="dxa" w:w="200"/>
              <w:bottom w:type="dxa" w:w="60"/>
              <w:right w:type="dxa" w:w="160"/>
            </w:tcMar>
          </w:tcPr>
          <w:p>
            <w:pPr>
              <w:spacing w:before="0" w:after="40"/>
              <w:jc w:val="left"/>
            </w:pPr>
            <w:r>
              <w:rPr>
                <w:rFonts w:ascii="Arial" w:cs="Arial" w:eastAsia="Arial" w:hAnsi="Arial"/>
                <w:b/>
                <w:bCs/>
                <w:sz w:val="19"/>
                <w:szCs w:val="19"/>
              </w:rPr>
              <w:t xml:space="preserve">sector_roles: ["trade_seller"]</w:t>
            </w:r>
            <w:r>
              <w:rPr>
                <w:rFonts w:ascii="Arial" w:cs="Arial" w:eastAsia="Arial" w:hAnsi="Arial"/>
                <w:sz w:val="19"/>
                <w:szCs w:val="19"/>
              </w:rPr>
              <w:t xml:space="preserve">  (sector sub-role within Trade)</w:t>
            </w:r>
          </w:p>
        </w:tc>
      </w:tr>
      <w:tr>
        <w:tc>
          <w:tcPr>
            <w:tcBorders>
              <w:top w:val="single" w:color="D97706" w:sz="1"/>
              <w:left w:val="single" w:color="D97706" w:sz="1"/>
              <w:bottom w:val="single" w:color="D97706" w:sz="1"/>
              <w:right w:val="single" w:color="D97706" w:sz="1"/>
            </w:tcBorders>
            <w:shd w:fill="FEF3C7" w:val="clear"/>
            <w:tcMar>
              <w:top w:type="dxa" w:w="60"/>
              <w:left w:type="dxa" w:w="200"/>
              <w:bottom w:type="dxa" w:w="60"/>
              <w:right w:type="dxa" w:w="160"/>
            </w:tcMar>
          </w:tcPr>
          <w:p>
            <w:pPr>
              <w:spacing w:before="0" w:after="40"/>
              <w:jc w:val="left"/>
            </w:pPr>
            <w:r>
              <w:rPr>
                <w:rFonts w:ascii="Arial" w:cs="Arial" w:eastAsia="Arial" w:hAnsi="Arial"/>
                <w:sz w:val="19"/>
                <w:szCs w:val="19"/>
              </w:rPr>
              <w:t xml:space="preserve">Without these fields verified, WarungKu's production activation is blocked at the ONIX layer — no Buyer App can send it a confirm message.</w:t>
            </w:r>
          </w:p>
        </w:tc>
      </w:tr>
    </w:tbl>
    <w:p>
      <w:pPr>
        <w:spacing w:before="8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9488" w:sz="1"/>
              <w:left w:val="single" w:color="0D9488" w:sz="1"/>
              <w:bottom w:val="single" w:color="0D9488" w:sz="1"/>
              <w:right w:val="single" w:color="0D9488" w:sz="1"/>
            </w:tcBorders>
            <w:shd w:fill="ECFDF5" w:val="clear"/>
            <w:tcMar>
              <w:top w:type="dxa" w:w="80"/>
              <w:left w:type="dxa" w:w="160"/>
              <w:bottom w:type="dxa" w:w="80"/>
              <w:right w:type="dxa" w:w="160"/>
            </w:tcMar>
          </w:tcPr>
          <w:p>
            <w:pPr>
              <w:spacing w:before="0" w:after="100"/>
              <w:jc w:val="left"/>
            </w:pPr>
            <w:r>
              <w:rPr>
                <w:rFonts w:ascii="Arial" w:cs="Arial" w:eastAsia="Arial" w:hAnsi="Arial"/>
                <w:b/>
                <w:bCs/>
                <w:color w:val="0D9488"/>
                <w:sz w:val="18"/>
                <w:szCs w:val="18"/>
              </w:rPr>
              <w:t xml:space="preserve">Primary Owner:  </w:t>
            </w:r>
            <w:r>
              <w:rPr>
                <w:rFonts w:ascii="Arial" w:cs="Arial" w:eastAsia="Arial" w:hAnsi="Arial"/>
                <w:color w:val="1A2B4C"/>
                <w:sz w:val="18"/>
                <w:szCs w:val="18"/>
              </w:rPr>
              <w:t xml:space="preserve">ION Core + Type 1 ISV (Remegis / Ayantram)</w:t>
            </w:r>
          </w:p>
        </w:tc>
      </w:tr>
    </w:tbl>
    <w:p>
      <w:pPr>
        <w:spacing w:before="60" w:after="0"/>
      </w:pPr>
    </w:p>
    <w:p>
      <w:pPr>
        <w:pBdr>
          <w:bottom w:val="single" w:color="CBD5E1" w:sz="6" w:space="1"/>
        </w:pBdr>
        <w:spacing w:before="200" w:after="40"/>
      </w:pPr>
    </w:p>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Borders>
              <w:top w:val="none" w:color="FFFFFF" w:sz="0"/>
              <w:left w:val="none" w:color="FFFFFF" w:sz="0"/>
              <w:bottom w:val="none" w:color="FFFFFF" w:sz="0"/>
              <w:right w:val="none" w:color="FFFFFF" w:sz="0"/>
            </w:tcBorders>
            <w:shd w:fill="0D9488" w:val="clear"/>
            <w:tcMar>
              <w:top w:type="dxa" w:w="120"/>
              <w:left w:type="dxa" w:w="160"/>
              <w:bottom w:type="dxa" w:w="120"/>
              <w:right w:type="dxa" w:w="160"/>
            </w:tcMar>
            <w:vAlign w:val="center"/>
          </w:tcPr>
          <w:p>
            <w:pPr>
              <w:spacing w:before="0" w:after="100"/>
              <w:jc w:val="center"/>
            </w:pPr>
            <w:r>
              <w:rPr>
                <w:rFonts w:ascii="Arial" w:cs="Arial" w:eastAsia="Arial" w:hAnsi="Arial"/>
                <w:b/>
                <w:bCs/>
                <w:color w:val="FFFFFF"/>
                <w:sz w:val="28"/>
                <w:szCs w:val="28"/>
              </w:rPr>
              <w:t xml:space="preserve">2</w:t>
            </w:r>
          </w:p>
        </w:tc>
        <w:tc>
          <w:tcPr>
            <w:tcBorders>
              <w:top w:val="single" w:color="0D9488" w:sz="1"/>
              <w:left w:val="single" w:color="0D9488" w:sz="1"/>
              <w:bottom w:val="single" w:color="0D9488" w:sz="1"/>
              <w:right w:val="single" w:color="0D9488" w:sz="1"/>
            </w:tcBorders>
            <w:shd w:fill="1A2B4C" w:val="clear"/>
            <w:tcMar>
              <w:top w:type="dxa" w:w="120"/>
              <w:left w:type="dxa" w:w="200"/>
              <w:bottom w:type="dxa" w:w="120"/>
              <w:right w:type="dxa" w:w="160"/>
            </w:tcMar>
            <w:vAlign w:val="center"/>
          </w:tcPr>
          <w:p>
            <w:pPr>
              <w:spacing w:before="0" w:after="100"/>
              <w:jc w:val="left"/>
            </w:pPr>
            <w:r>
              <w:rPr>
                <w:rFonts w:ascii="Arial" w:cs="Arial" w:eastAsia="Arial" w:hAnsi="Arial"/>
                <w:b/>
                <w:bCs/>
                <w:color w:val="FFFFFF"/>
                <w:sz w:val="26"/>
                <w:szCs w:val="26"/>
              </w:rPr>
              <w:t xml:space="preserve">Sector Schema Packs</w:t>
            </w:r>
          </w:p>
        </w:tc>
      </w:tr>
    </w:tbl>
    <w:p>
      <w:pPr>
        <w:spacing w:before="80" w:after="0"/>
      </w:pPr>
    </w:p>
    <w:p>
      <w:pPr>
        <w:spacing w:before="0" w:after="120"/>
        <w:jc w:val="left"/>
      </w:pPr>
      <w:r>
        <w:rPr>
          <w:rFonts w:ascii="Arial" w:cs="Arial" w:eastAsia="Arial" w:hAnsi="Arial"/>
          <w:sz w:val="20"/>
          <w:szCs w:val="20"/>
        </w:rPr>
        <w:t xml:space="preserve">Six JSON-LD schema packs — one per ION sector — extending Beckn 2.0 core entities (Item, Provider, Offer, Order, Fulfilment) with sector-specific attributes. These are the Level 2 schemas in Beckn 2.0 terms. Each pack requires its own @context file, attribute definitions, schema profile, rendering hints, and validation test cases.</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7706" w:sz="1"/>
              <w:left w:val="single" w:color="D97706" w:sz="1"/>
              <w:bottom w:val="single" w:color="D97706" w:sz="1"/>
              <w:right w:val="single" w:color="D97706" w:sz="1"/>
            </w:tcBorders>
            <w:shd w:fill="D97706" w:val="clear"/>
            <w:tcMar>
              <w:top w:type="dxa" w:w="80"/>
              <w:left w:type="dxa" w:w="160"/>
              <w:bottom w:type="dxa" w:w="80"/>
              <w:right w:type="dxa" w:w="160"/>
            </w:tcMar>
          </w:tcPr>
          <w:p>
            <w:pPr>
              <w:spacing w:before="0" w:after="100"/>
              <w:jc w:val="left"/>
            </w:pPr>
            <w:r>
              <w:rPr>
                <w:rFonts w:ascii="Arial" w:cs="Arial" w:eastAsia="Arial" w:hAnsi="Arial"/>
                <w:b/>
                <w:bCs/>
                <w:color w:val="FFFFFF"/>
                <w:sz w:val="19"/>
                <w:szCs w:val="19"/>
              </w:rPr>
              <w:t xml:space="preserve">📌  Example: Why generic Item schema is not enough</w:t>
            </w:r>
          </w:p>
        </w:tc>
      </w:tr>
      <w:tr>
        <w:tc>
          <w:tcPr>
            <w:tcBorders>
              <w:top w:val="single" w:color="D97706" w:sz="1"/>
              <w:left w:val="single" w:color="D97706" w:sz="1"/>
              <w:bottom w:val="single" w:color="D97706" w:sz="1"/>
              <w:right w:val="single" w:color="D97706" w:sz="1"/>
            </w:tcBorders>
            <w:shd w:fill="FEF3C7" w:val="clear"/>
            <w:tcMar>
              <w:top w:type="dxa" w:w="60"/>
              <w:left w:type="dxa" w:w="200"/>
              <w:bottom w:type="dxa" w:w="60"/>
              <w:right w:type="dxa" w:w="160"/>
            </w:tcMar>
          </w:tcPr>
          <w:p>
            <w:pPr>
              <w:spacing w:before="0" w:after="40"/>
              <w:jc w:val="left"/>
            </w:pPr>
            <w:r>
              <w:rPr>
                <w:rFonts w:ascii="Arial" w:cs="Arial" w:eastAsia="Arial" w:hAnsi="Arial"/>
                <w:sz w:val="19"/>
                <w:szCs w:val="19"/>
              </w:rPr>
              <w:t xml:space="preserve">The Beckn 2.0 core schema defines an Item with: name, description, price, media, and tags.</w:t>
            </w:r>
          </w:p>
        </w:tc>
      </w:tr>
      <w:tr>
        <w:tc>
          <w:tcPr>
            <w:tcBorders>
              <w:top w:val="single" w:color="D97706" w:sz="1"/>
              <w:left w:val="single" w:color="D97706" w:sz="1"/>
              <w:bottom w:val="single" w:color="D97706" w:sz="1"/>
              <w:right w:val="single" w:color="D97706" w:sz="1"/>
            </w:tcBorders>
            <w:shd w:fill="FEF3C7" w:val="clear"/>
            <w:tcMar>
              <w:top w:type="dxa" w:w="60"/>
              <w:left w:type="dxa" w:w="200"/>
              <w:bottom w:type="dxa" w:w="60"/>
              <w:right w:type="dxa" w:w="160"/>
            </w:tcMar>
          </w:tcPr>
          <w:p>
            <w:pPr>
              <w:spacing w:before="0" w:after="40"/>
              <w:jc w:val="left"/>
            </w:pPr>
            <w:r>
              <w:rPr>
                <w:rFonts w:ascii="Arial" w:cs="Arial" w:eastAsia="Arial" w:hAnsi="Arial"/>
                <w:sz w:val="19"/>
                <w:szCs w:val="19"/>
              </w:rPr>
              <w:t xml:space="preserve">For a warung listing 'Nasi Goreng Spesial', ION needs: unit of measure (piring/portion), daily availability window (06:00–14:00), halal certification status, and whether it is available for walk-in pickup or delivery only. None of these exist in the Beckn 2.0 core Item. They must be defined in the Trade sector schema pack as composable attributes.</w:t>
            </w:r>
          </w:p>
        </w:tc>
      </w:tr>
      <w:tr>
        <w:tc>
          <w:tcPr>
            <w:tcBorders>
              <w:top w:val="single" w:color="D97706" w:sz="1"/>
              <w:left w:val="single" w:color="D97706" w:sz="1"/>
              <w:bottom w:val="single" w:color="D97706" w:sz="1"/>
              <w:right w:val="single" w:color="D97706" w:sz="1"/>
            </w:tcBorders>
            <w:shd w:fill="FEF3C7" w:val="clear"/>
            <w:tcMar>
              <w:top w:type="dxa" w:w="60"/>
              <w:left w:type="dxa" w:w="200"/>
              <w:bottom w:type="dxa" w:w="60"/>
              <w:right w:type="dxa" w:w="160"/>
            </w:tcMar>
          </w:tcPr>
          <w:p>
            <w:pPr>
              <w:spacing w:before="0" w:after="40"/>
              <w:jc w:val="left"/>
            </w:pPr>
            <w:r>
              <w:rPr>
                <w:rFonts w:ascii="Arial" w:cs="Arial" w:eastAsia="Arial" w:hAnsi="Arial"/>
                <w:sz w:val="19"/>
                <w:szCs w:val="19"/>
              </w:rPr>
              <w:t xml:space="preserve">For a ferry ticket in Mobility, ION needs: departure island, arrival island, vessel type, seat class, and fixed departure schedule. Again — not in core. Defined in the Mobility schema pack.</w:t>
            </w:r>
          </w:p>
        </w:tc>
      </w:tr>
    </w:tbl>
    <w:p>
      <w:pPr>
        <w:spacing w:before="80" w:after="0"/>
      </w:pPr>
    </w:p>
    <w:p>
      <w:pPr>
        <w:pStyle w:val="Heading3"/>
        <w:spacing w:before="0" w:after="100"/>
        <w:jc w:val="left"/>
      </w:pPr>
      <w:r>
        <w:rPr>
          <w:rFonts w:ascii="Arial" w:cs="Arial" w:eastAsia="Arial" w:hAnsi="Arial"/>
          <w:sz w:val="20"/>
          <w:szCs w:val="20"/>
        </w:rPr>
        <w:t xml:space="preserve">Trade</w:t>
      </w:r>
    </w:p>
    <w:p>
      <w:pPr>
        <w:spacing w:before="0" w:after="80"/>
        <w:jc w:val="left"/>
      </w:pPr>
      <w:r>
        <w:rPr>
          <w:rFonts w:ascii="Arial" w:cs="Arial" w:eastAsia="Arial" w:hAnsi="Arial"/>
          <w:i/>
          <w:iCs/>
          <w:sz w:val="20"/>
          <w:szCs w:val="20"/>
        </w:rPr>
        <w:t xml:space="preserve">Neighbourhood Commerce, Organised Retail, Online Food Delivery, Agriculture, D2C</w:t>
      </w:r>
    </w:p>
    <w:p>
      <w:pPr>
        <w:pStyle w:val="ListParagraph"/>
        <w:numPr>
          <w:ilvl w:val="0"/>
          <w:numId w:val="2"/>
        </w:numPr>
        <w:spacing w:before="0" w:after="80"/>
      </w:pPr>
      <w:r>
        <w:rPr>
          <w:rFonts w:ascii="Arial" w:cs="Arial" w:eastAsia="Arial" w:hAnsi="Arial"/>
          <w:sz w:val="20"/>
          <w:szCs w:val="20"/>
        </w:rPr>
        <w:t xml:space="preserve">Define Indonesian retail units of measure: kg, ikat, bungkus, pcs, lusin</w:t>
      </w:r>
    </w:p>
    <w:p>
      <w:pPr>
        <w:pStyle w:val="ListParagraph"/>
        <w:numPr>
          <w:ilvl w:val="0"/>
          <w:numId w:val="2"/>
        </w:numPr>
        <w:spacing w:before="0" w:after="80"/>
      </w:pPr>
      <w:r>
        <w:rPr>
          <w:rFonts w:ascii="Arial" w:cs="Arial" w:eastAsia="Arial" w:hAnsi="Arial"/>
          <w:sz w:val="20"/>
          <w:szCs w:val="20"/>
        </w:rPr>
        <w:t xml:space="preserve">Define merchant type: warung, pasar_stall, kaki_lima, minimarket, supermarket, d2c_brand, farm</w:t>
      </w:r>
    </w:p>
    <w:p>
      <w:pPr>
        <w:pStyle w:val="ListParagraph"/>
        <w:numPr>
          <w:ilvl w:val="0"/>
          <w:numId w:val="2"/>
        </w:numPr>
        <w:spacing w:before="0" w:after="80"/>
      </w:pPr>
      <w:r>
        <w:rPr>
          <w:rFonts w:ascii="Arial" w:cs="Arial" w:eastAsia="Arial" w:hAnsi="Arial"/>
          <w:sz w:val="20"/>
          <w:szCs w:val="20"/>
        </w:rPr>
        <w:t xml:space="preserve">Define daily availability windows and operating hours schema</w:t>
      </w:r>
    </w:p>
    <w:p>
      <w:pPr>
        <w:pStyle w:val="ListParagraph"/>
        <w:numPr>
          <w:ilvl w:val="0"/>
          <w:numId w:val="2"/>
        </w:numPr>
        <w:spacing w:before="0" w:after="80"/>
      </w:pPr>
      <w:r>
        <w:rPr>
          <w:rFonts w:ascii="Arial" w:cs="Arial" w:eastAsia="Arial" w:hAnsi="Arial"/>
          <w:sz w:val="20"/>
          <w:szCs w:val="20"/>
        </w:rPr>
        <w:t xml:space="preserve">Define halal flag and BPOM registration as structured Item fields (not free-text tags)</w:t>
      </w:r>
    </w:p>
    <w:p>
      <w:pPr>
        <w:pStyle w:val="ListParagraph"/>
        <w:numPr>
          <w:ilvl w:val="0"/>
          <w:numId w:val="2"/>
        </w:numPr>
        <w:spacing w:before="0" w:after="80"/>
      </w:pPr>
      <w:r>
        <w:rPr>
          <w:rFonts w:ascii="Arial" w:cs="Arial" w:eastAsia="Arial" w:hAnsi="Arial"/>
          <w:sz w:val="20"/>
          <w:szCs w:val="20"/>
        </w:rPr>
        <w:t xml:space="preserve">Define bulk pricing tier schema for wholesale and pasar use cases</w:t>
      </w:r>
    </w:p>
    <w:p>
      <w:pPr>
        <w:pStyle w:val="ListParagraph"/>
        <w:numPr>
          <w:ilvl w:val="0"/>
          <w:numId w:val="2"/>
        </w:numPr>
        <w:spacing w:before="0" w:after="80"/>
      </w:pPr>
      <w:r>
        <w:rPr>
          <w:rFonts w:ascii="Arial" w:cs="Arial" w:eastAsia="Arial" w:hAnsi="Arial"/>
          <w:sz w:val="20"/>
          <w:szCs w:val="20"/>
        </w:rPr>
        <w:t xml:space="preserve">Define agricultural origin fields: province, commodity type, harvest batch</w:t>
      </w:r>
    </w:p>
    <w:p>
      <w:pPr>
        <w:pStyle w:val="Heading3"/>
        <w:spacing w:before="0" w:after="100"/>
        <w:jc w:val="left"/>
      </w:pPr>
      <w:r>
        <w:rPr>
          <w:rFonts w:ascii="Arial" w:cs="Arial" w:eastAsia="Arial" w:hAnsi="Arial"/>
          <w:sz w:val="20"/>
          <w:szCs w:val="20"/>
        </w:rPr>
        <w:t xml:space="preserve">Mobility</w:t>
      </w:r>
    </w:p>
    <w:p>
      <w:pPr>
        <w:spacing w:before="0" w:after="80"/>
        <w:jc w:val="left"/>
      </w:pPr>
      <w:r>
        <w:rPr>
          <w:rFonts w:ascii="Arial" w:cs="Arial" w:eastAsia="Arial" w:hAnsi="Arial"/>
          <w:i/>
          <w:iCs/>
          <w:sz w:val="20"/>
          <w:szCs w:val="20"/>
        </w:rPr>
        <w:t xml:space="preserve">Road, Rail, Air, Sea</w:t>
      </w:r>
    </w:p>
    <w:p>
      <w:pPr>
        <w:pStyle w:val="ListParagraph"/>
        <w:numPr>
          <w:ilvl w:val="0"/>
          <w:numId w:val="2"/>
        </w:numPr>
        <w:spacing w:before="0" w:after="80"/>
      </w:pPr>
      <w:r>
        <w:rPr>
          <w:rFonts w:ascii="Arial" w:cs="Arial" w:eastAsia="Arial" w:hAnsi="Arial"/>
          <w:sz w:val="20"/>
          <w:szCs w:val="20"/>
        </w:rPr>
        <w:t xml:space="preserve">Define transport mode enum: ojek, angkot, bus, krl, lrt, mrt, ferry, domestic_flight</w:t>
      </w:r>
    </w:p>
    <w:p>
      <w:pPr>
        <w:pStyle w:val="ListParagraph"/>
        <w:numPr>
          <w:ilvl w:val="0"/>
          <w:numId w:val="2"/>
        </w:numPr>
        <w:spacing w:before="0" w:after="80"/>
      </w:pPr>
      <w:r>
        <w:rPr>
          <w:rFonts w:ascii="Arial" w:cs="Arial" w:eastAsia="Arial" w:hAnsi="Arial"/>
          <w:sz w:val="20"/>
          <w:szCs w:val="20"/>
        </w:rPr>
        <w:t xml:space="preserve">Define route type: on_demand vs. fixed_route, with separate schemas for each</w:t>
      </w:r>
    </w:p>
    <w:p>
      <w:pPr>
        <w:pStyle w:val="ListParagraph"/>
        <w:numPr>
          <w:ilvl w:val="0"/>
          <w:numId w:val="2"/>
        </w:numPr>
        <w:spacing w:before="0" w:after="80"/>
      </w:pPr>
      <w:r>
        <w:rPr>
          <w:rFonts w:ascii="Arial" w:cs="Arial" w:eastAsia="Arial" w:hAnsi="Arial"/>
          <w:sz w:val="20"/>
          <w:szCs w:val="20"/>
        </w:rPr>
        <w:t xml:space="preserve">Define driver identity fields: SIM (driving licence) number, Dishub registration</w:t>
      </w:r>
    </w:p>
    <w:p>
      <w:pPr>
        <w:pStyle w:val="ListParagraph"/>
        <w:numPr>
          <w:ilvl w:val="0"/>
          <w:numId w:val="2"/>
        </w:numPr>
        <w:spacing w:before="0" w:after="80"/>
      </w:pPr>
      <w:r>
        <w:rPr>
          <w:rFonts w:ascii="Arial" w:cs="Arial" w:eastAsia="Arial" w:hAnsi="Arial"/>
          <w:sz w:val="20"/>
          <w:szCs w:val="20"/>
        </w:rPr>
        <w:t xml:space="preserve">Define inter-island connection flag on Fulfilment entity</w:t>
      </w:r>
    </w:p>
    <w:p>
      <w:pPr>
        <w:pStyle w:val="ListParagraph"/>
        <w:numPr>
          <w:ilvl w:val="0"/>
          <w:numId w:val="2"/>
        </w:numPr>
        <w:spacing w:before="0" w:after="80"/>
      </w:pPr>
      <w:r>
        <w:rPr>
          <w:rFonts w:ascii="Arial" w:cs="Arial" w:eastAsia="Arial" w:hAnsi="Arial"/>
          <w:sz w:val="20"/>
          <w:szCs w:val="20"/>
        </w:rPr>
        <w:t xml:space="preserve">Define waypoint schema for multi-leg journeys</w:t>
      </w:r>
    </w:p>
    <w:p>
      <w:pPr>
        <w:pStyle w:val="Heading3"/>
        <w:spacing w:before="0" w:after="100"/>
        <w:jc w:val="left"/>
      </w:pPr>
      <w:r>
        <w:rPr>
          <w:rFonts w:ascii="Arial" w:cs="Arial" w:eastAsia="Arial" w:hAnsi="Arial"/>
          <w:sz w:val="20"/>
          <w:szCs w:val="20"/>
        </w:rPr>
        <w:t xml:space="preserve">Logistics</w:t>
      </w:r>
    </w:p>
    <w:p>
      <w:pPr>
        <w:spacing w:before="0" w:after="80"/>
        <w:jc w:val="left"/>
      </w:pPr>
      <w:r>
        <w:rPr>
          <w:rFonts w:ascii="Arial" w:cs="Arial" w:eastAsia="Arial" w:hAnsi="Arial"/>
          <w:i/>
          <w:iCs/>
          <w:sz w:val="20"/>
          <w:szCs w:val="20"/>
        </w:rPr>
        <w:t xml:space="preserve">Hyperlocal, Inter-City, Inter-Island</w:t>
      </w:r>
    </w:p>
    <w:p>
      <w:pPr>
        <w:pStyle w:val="ListParagraph"/>
        <w:numPr>
          <w:ilvl w:val="0"/>
          <w:numId w:val="2"/>
        </w:numPr>
        <w:spacing w:before="0" w:after="80"/>
      </w:pPr>
      <w:r>
        <w:rPr>
          <w:rFonts w:ascii="Arial" w:cs="Arial" w:eastAsia="Arial" w:hAnsi="Arial"/>
          <w:sz w:val="20"/>
          <w:szCs w:val="20"/>
        </w:rPr>
        <w:t xml:space="preserve">Define shipment type: hyperlocal, inter_city, inter_island</w:t>
      </w:r>
    </w:p>
    <w:p>
      <w:pPr>
        <w:pStyle w:val="ListParagraph"/>
        <w:numPr>
          <w:ilvl w:val="0"/>
          <w:numId w:val="2"/>
        </w:numPr>
        <w:spacing w:before="0" w:after="80"/>
      </w:pPr>
      <w:r>
        <w:rPr>
          <w:rFonts w:ascii="Arial" w:cs="Arial" w:eastAsia="Arial" w:hAnsi="Arial"/>
          <w:sz w:val="20"/>
          <w:szCs w:val="20"/>
        </w:rPr>
        <w:t xml:space="preserve">Define multi-modal leg schema: per-leg mode, carrier, timeline, handoff events</w:t>
      </w:r>
    </w:p>
    <w:p>
      <w:pPr>
        <w:pStyle w:val="ListParagraph"/>
        <w:numPr>
          <w:ilvl w:val="0"/>
          <w:numId w:val="2"/>
        </w:numPr>
        <w:spacing w:before="0" w:after="80"/>
      </w:pPr>
      <w:r>
        <w:rPr>
          <w:rFonts w:ascii="Arial" w:cs="Arial" w:eastAsia="Arial" w:hAnsi="Arial"/>
          <w:sz w:val="20"/>
          <w:szCs w:val="20"/>
        </w:rPr>
        <w:t xml:space="preserve">Define NLE (National Logistics Ecosystem) shipment reference field</w:t>
      </w:r>
    </w:p>
    <w:p>
      <w:pPr>
        <w:pStyle w:val="ListParagraph"/>
        <w:numPr>
          <w:ilvl w:val="0"/>
          <w:numId w:val="2"/>
        </w:numPr>
        <w:spacing w:before="0" w:after="80"/>
      </w:pPr>
      <w:r>
        <w:rPr>
          <w:rFonts w:ascii="Arial" w:cs="Arial" w:eastAsia="Arial" w:hAnsi="Arial"/>
          <w:sz w:val="20"/>
          <w:szCs w:val="20"/>
        </w:rPr>
        <w:t xml:space="preserve">Define inter-island routing mode: ship, air, truck, multimodal</w:t>
      </w:r>
    </w:p>
    <w:p>
      <w:pPr>
        <w:pStyle w:val="ListParagraph"/>
        <w:numPr>
          <w:ilvl w:val="0"/>
          <w:numId w:val="2"/>
        </w:numPr>
        <w:spacing w:before="0" w:after="80"/>
      </w:pPr>
      <w:r>
        <w:rPr>
          <w:rFonts w:ascii="Arial" w:cs="Arial" w:eastAsia="Arial" w:hAnsi="Arial"/>
          <w:sz w:val="20"/>
          <w:szCs w:val="20"/>
        </w:rPr>
        <w:t xml:space="preserve">Define proof of delivery schema: photo, OTP, signature</w:t>
      </w:r>
    </w:p>
    <w:p>
      <w:pPr>
        <w:pStyle w:val="ListParagraph"/>
        <w:numPr>
          <w:ilvl w:val="0"/>
          <w:numId w:val="2"/>
        </w:numPr>
        <w:spacing w:before="0" w:after="80"/>
      </w:pPr>
      <w:r>
        <w:rPr>
          <w:rFonts w:ascii="Arial" w:cs="Arial" w:eastAsia="Arial" w:hAnsi="Arial"/>
          <w:sz w:val="20"/>
          <w:szCs w:val="20"/>
        </w:rPr>
        <w:t xml:space="preserve">Define delivery time range (min/max) — not a single timestamp — for inter-island shipments</w:t>
      </w:r>
    </w:p>
    <w:p>
      <w:pPr>
        <w:pStyle w:val="Heading3"/>
        <w:spacing w:before="0" w:after="100"/>
        <w:jc w:val="left"/>
      </w:pPr>
      <w:r>
        <w:rPr>
          <w:rFonts w:ascii="Arial" w:cs="Arial" w:eastAsia="Arial" w:hAnsi="Arial"/>
          <w:sz w:val="20"/>
          <w:szCs w:val="20"/>
        </w:rPr>
        <w:t xml:space="preserve">Hospitality</w:t>
      </w:r>
    </w:p>
    <w:p>
      <w:pPr>
        <w:spacing w:before="0" w:after="80"/>
        <w:jc w:val="left"/>
      </w:pPr>
      <w:r>
        <w:rPr>
          <w:rFonts w:ascii="Arial" w:cs="Arial" w:eastAsia="Arial" w:hAnsi="Arial"/>
          <w:i/>
          <w:iCs/>
          <w:sz w:val="20"/>
          <w:szCs w:val="20"/>
        </w:rPr>
        <w:t xml:space="preserve">Hotels, Villas, Homestays, Tours, Cultural Experiences</w:t>
      </w:r>
    </w:p>
    <w:p>
      <w:pPr>
        <w:pStyle w:val="ListParagraph"/>
        <w:numPr>
          <w:ilvl w:val="0"/>
          <w:numId w:val="2"/>
        </w:numPr>
        <w:spacing w:before="0" w:after="80"/>
      </w:pPr>
      <w:r>
        <w:rPr>
          <w:rFonts w:ascii="Arial" w:cs="Arial" w:eastAsia="Arial" w:hAnsi="Arial"/>
          <w:sz w:val="20"/>
          <w:szCs w:val="20"/>
        </w:rPr>
        <w:t xml:space="preserve">Define property type: hotel, villa, homestay, pondok_wisata, resort</w:t>
      </w:r>
    </w:p>
    <w:p>
      <w:pPr>
        <w:pStyle w:val="ListParagraph"/>
        <w:numPr>
          <w:ilvl w:val="0"/>
          <w:numId w:val="2"/>
        </w:numPr>
        <w:spacing w:before="0" w:after="80"/>
      </w:pPr>
      <w:r>
        <w:rPr>
          <w:rFonts w:ascii="Arial" w:cs="Arial" w:eastAsia="Arial" w:hAnsi="Arial"/>
          <w:sz w:val="20"/>
          <w:szCs w:val="20"/>
        </w:rPr>
        <w:t xml:space="preserve">Define TDUP (Tanda Daftar Usaha Pariwisata) as a required Provider registration field</w:t>
      </w:r>
    </w:p>
    <w:p>
      <w:pPr>
        <w:pStyle w:val="ListParagraph"/>
        <w:numPr>
          <w:ilvl w:val="0"/>
          <w:numId w:val="2"/>
        </w:numPr>
        <w:spacing w:before="0" w:after="80"/>
      </w:pPr>
      <w:r>
        <w:rPr>
          <w:rFonts w:ascii="Arial" w:cs="Arial" w:eastAsia="Arial" w:hAnsi="Arial"/>
          <w:sz w:val="20"/>
          <w:szCs w:val="20"/>
        </w:rPr>
        <w:t xml:space="preserve">Define room type schema and slot-based availability</w:t>
      </w:r>
    </w:p>
    <w:p>
      <w:pPr>
        <w:pStyle w:val="ListParagraph"/>
        <w:numPr>
          <w:ilvl w:val="0"/>
          <w:numId w:val="2"/>
        </w:numPr>
        <w:spacing w:before="0" w:after="80"/>
      </w:pPr>
      <w:r>
        <w:rPr>
          <w:rFonts w:ascii="Arial" w:cs="Arial" w:eastAsia="Arial" w:hAnsi="Arial"/>
          <w:sz w:val="20"/>
          <w:szCs w:val="20"/>
        </w:rPr>
        <w:t xml:space="preserve">Define activity/tour Item type with guide language, group size, and duration fields</w:t>
      </w:r>
    </w:p>
    <w:p>
      <w:pPr>
        <w:pStyle w:val="ListParagraph"/>
        <w:numPr>
          <w:ilvl w:val="0"/>
          <w:numId w:val="2"/>
        </w:numPr>
        <w:spacing w:before="0" w:after="80"/>
      </w:pPr>
      <w:r>
        <w:rPr>
          <w:rFonts w:ascii="Arial" w:cs="Arial" w:eastAsia="Arial" w:hAnsi="Arial"/>
          <w:sz w:val="20"/>
          <w:szCs w:val="20"/>
        </w:rPr>
        <w:t xml:space="preserve">Define foreign tourist eligibility flag</w:t>
      </w:r>
    </w:p>
    <w:p>
      <w:pPr>
        <w:pStyle w:val="Heading3"/>
        <w:spacing w:before="0" w:after="100"/>
        <w:jc w:val="left"/>
      </w:pPr>
      <w:r>
        <w:rPr>
          <w:rFonts w:ascii="Arial" w:cs="Arial" w:eastAsia="Arial" w:hAnsi="Arial"/>
          <w:sz w:val="20"/>
          <w:szCs w:val="20"/>
        </w:rPr>
        <w:t xml:space="preserve">Finance</w:t>
      </w:r>
    </w:p>
    <w:p>
      <w:pPr>
        <w:spacing w:before="0" w:after="80"/>
        <w:jc w:val="left"/>
      </w:pPr>
      <w:r>
        <w:rPr>
          <w:rFonts w:ascii="Arial" w:cs="Arial" w:eastAsia="Arial" w:hAnsi="Arial"/>
          <w:i/>
          <w:iCs/>
          <w:sz w:val="20"/>
          <w:szCs w:val="20"/>
        </w:rPr>
        <w:t xml:space="preserve">Credit, Micro-Insurance, Investment — regulated by OJK</w:t>
      </w:r>
    </w:p>
    <w:p>
      <w:pPr>
        <w:pStyle w:val="ListParagraph"/>
        <w:numPr>
          <w:ilvl w:val="0"/>
          <w:numId w:val="2"/>
        </w:numPr>
        <w:spacing w:before="0" w:after="80"/>
      </w:pPr>
      <w:r>
        <w:rPr>
          <w:rFonts w:ascii="Arial" w:cs="Arial" w:eastAsia="Arial" w:hAnsi="Arial"/>
          <w:sz w:val="20"/>
          <w:szCs w:val="20"/>
        </w:rPr>
        <w:t xml:space="preserve">Define OJK product category enum: kredit, asuransi_mikro, investasi, tabungan</w:t>
      </w:r>
    </w:p>
    <w:p>
      <w:pPr>
        <w:pStyle w:val="ListParagraph"/>
        <w:numPr>
          <w:ilvl w:val="0"/>
          <w:numId w:val="2"/>
        </w:numPr>
        <w:spacing w:before="0" w:after="80"/>
      </w:pPr>
      <w:r>
        <w:rPr>
          <w:rFonts w:ascii="Arial" w:cs="Arial" w:eastAsia="Arial" w:hAnsi="Arial"/>
          <w:sz w:val="20"/>
          <w:szCs w:val="20"/>
        </w:rPr>
        <w:t xml:space="preserve">Define OJK product registration number as a required Item field</w:t>
      </w:r>
    </w:p>
    <w:p>
      <w:pPr>
        <w:pStyle w:val="ListParagraph"/>
        <w:numPr>
          <w:ilvl w:val="0"/>
          <w:numId w:val="2"/>
        </w:numPr>
        <w:spacing w:before="0" w:after="80"/>
      </w:pPr>
      <w:r>
        <w:rPr>
          <w:rFonts w:ascii="Arial" w:cs="Arial" w:eastAsia="Arial" w:hAnsi="Arial"/>
          <w:sz w:val="20"/>
          <w:szCs w:val="20"/>
        </w:rPr>
        <w:t xml:space="preserve">Define KYC level gating in schema profile — which products require full KYC</w:t>
      </w:r>
    </w:p>
    <w:p>
      <w:pPr>
        <w:pStyle w:val="ListParagraph"/>
        <w:numPr>
          <w:ilvl w:val="0"/>
          <w:numId w:val="2"/>
        </w:numPr>
        <w:spacing w:before="0" w:after="80"/>
      </w:pPr>
      <w:r>
        <w:rPr>
          <w:rFonts w:ascii="Arial" w:cs="Arial" w:eastAsia="Arial" w:hAnsi="Arial"/>
          <w:sz w:val="20"/>
          <w:szCs w:val="20"/>
        </w:rPr>
        <w:t xml:space="preserve">Define embedded Finance offer schema — Finance product surfaced within another sector's transaction (e.g. micro-insurance on a Trade order)</w:t>
      </w:r>
    </w:p>
    <w:p>
      <w:pPr>
        <w:pStyle w:val="ListParagraph"/>
        <w:numPr>
          <w:ilvl w:val="0"/>
          <w:numId w:val="2"/>
        </w:numPr>
        <w:spacing w:before="0" w:after="80"/>
      </w:pPr>
      <w:r>
        <w:rPr>
          <w:rFonts w:ascii="Arial" w:cs="Arial" w:eastAsia="Arial" w:hAnsi="Arial"/>
          <w:sz w:val="20"/>
          <w:szCs w:val="20"/>
        </w:rPr>
        <w:t xml:space="preserve">Define pre-approved offer schema linked to a buyer's KYC profile</w:t>
      </w:r>
    </w:p>
    <w:p>
      <w:pPr>
        <w:pStyle w:val="Heading3"/>
        <w:spacing w:before="0" w:after="100"/>
        <w:jc w:val="left"/>
      </w:pPr>
      <w:r>
        <w:rPr>
          <w:rFonts w:ascii="Arial" w:cs="Arial" w:eastAsia="Arial" w:hAnsi="Arial"/>
          <w:sz w:val="20"/>
          <w:szCs w:val="20"/>
        </w:rPr>
        <w:t xml:space="preserve">Services</w:t>
      </w:r>
    </w:p>
    <w:p>
      <w:pPr>
        <w:spacing w:before="0" w:after="80"/>
        <w:jc w:val="left"/>
      </w:pPr>
      <w:r>
        <w:rPr>
          <w:rFonts w:ascii="Arial" w:cs="Arial" w:eastAsia="Arial" w:hAnsi="Arial"/>
          <w:i/>
          <w:iCs/>
          <w:sz w:val="20"/>
          <w:szCs w:val="20"/>
        </w:rPr>
        <w:t xml:space="preserve">Home, Health, Professional</w:t>
      </w:r>
    </w:p>
    <w:p>
      <w:pPr>
        <w:pStyle w:val="ListParagraph"/>
        <w:numPr>
          <w:ilvl w:val="0"/>
          <w:numId w:val="2"/>
        </w:numPr>
        <w:spacing w:before="0" w:after="80"/>
      </w:pPr>
      <w:r>
        <w:rPr>
          <w:rFonts w:ascii="Arial" w:cs="Arial" w:eastAsia="Arial" w:hAnsi="Arial"/>
          <w:sz w:val="20"/>
          <w:szCs w:val="20"/>
        </w:rPr>
        <w:t xml:space="preserve">Define service type: home_repair, cleaning, beauty_wellness, healthcare, legal, accounting</w:t>
      </w:r>
    </w:p>
    <w:p>
      <w:pPr>
        <w:pStyle w:val="ListParagraph"/>
        <w:numPr>
          <w:ilvl w:val="0"/>
          <w:numId w:val="2"/>
        </w:numPr>
        <w:spacing w:before="0" w:after="80"/>
      </w:pPr>
      <w:r>
        <w:rPr>
          <w:rFonts w:ascii="Arial" w:cs="Arial" w:eastAsia="Arial" w:hAnsi="Arial"/>
          <w:sz w:val="20"/>
          <w:szCs w:val="20"/>
        </w:rPr>
        <w:t xml:space="preserve">Define fulfilment mode: home_visit, at_provider_location, remote</w:t>
      </w:r>
    </w:p>
    <w:p>
      <w:pPr>
        <w:pStyle w:val="ListParagraph"/>
        <w:numPr>
          <w:ilvl w:val="0"/>
          <w:numId w:val="2"/>
        </w:numPr>
        <w:spacing w:before="0" w:after="80"/>
      </w:pPr>
      <w:r>
        <w:rPr>
          <w:rFonts w:ascii="Arial" w:cs="Arial" w:eastAsia="Arial" w:hAnsi="Arial"/>
          <w:sz w:val="20"/>
          <w:szCs w:val="20"/>
        </w:rPr>
        <w:t xml:space="preserve">Define professional licence attribute by sub-type (STR for healthcare, SIP for pharmacist, SIUP)</w:t>
      </w:r>
    </w:p>
    <w:p>
      <w:pPr>
        <w:pStyle w:val="ListParagraph"/>
        <w:numPr>
          <w:ilvl w:val="0"/>
          <w:numId w:val="2"/>
        </w:numPr>
        <w:spacing w:before="0" w:after="80"/>
      </w:pPr>
      <w:r>
        <w:rPr>
          <w:rFonts w:ascii="Arial" w:cs="Arial" w:eastAsia="Arial" w:hAnsi="Arial"/>
          <w:sz w:val="20"/>
          <w:szCs w:val="20"/>
        </w:rPr>
        <w:t xml:space="preserve">Define appointment / slot-based Fulfilment schema</w:t>
      </w:r>
    </w:p>
    <w:p>
      <w:pPr>
        <w:pStyle w:val="ListParagraph"/>
        <w:numPr>
          <w:ilvl w:val="0"/>
          <w:numId w:val="2"/>
        </w:numPr>
        <w:spacing w:before="0" w:after="80"/>
      </w:pPr>
      <w:r>
        <w:rPr>
          <w:rFonts w:ascii="Arial" w:cs="Arial" w:eastAsia="Arial" w:hAnsi="Arial"/>
          <w:sz w:val="20"/>
          <w:szCs w:val="20"/>
        </w:rPr>
        <w:t xml:space="preserve">Define service area by kecamatan list or radius in km</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9488" w:sz="1"/>
              <w:left w:val="single" w:color="0D9488" w:sz="1"/>
              <w:bottom w:val="single" w:color="0D9488" w:sz="1"/>
              <w:right w:val="single" w:color="0D9488" w:sz="1"/>
            </w:tcBorders>
            <w:shd w:fill="ECFDF5" w:val="clear"/>
            <w:tcMar>
              <w:top w:type="dxa" w:w="80"/>
              <w:left w:type="dxa" w:w="160"/>
              <w:bottom w:type="dxa" w:w="80"/>
              <w:right w:type="dxa" w:w="160"/>
            </w:tcMar>
          </w:tcPr>
          <w:p>
            <w:pPr>
              <w:spacing w:before="0" w:after="100"/>
              <w:jc w:val="left"/>
            </w:pPr>
            <w:r>
              <w:rPr>
                <w:rFonts w:ascii="Arial" w:cs="Arial" w:eastAsia="Arial" w:hAnsi="Arial"/>
                <w:b/>
                <w:bCs/>
                <w:color w:val="0D9488"/>
                <w:sz w:val="18"/>
                <w:szCs w:val="18"/>
              </w:rPr>
              <w:t xml:space="preserve">Primary Owner:  </w:t>
            </w:r>
            <w:r>
              <w:rPr>
                <w:rFonts w:ascii="Arial" w:cs="Arial" w:eastAsia="Arial" w:hAnsi="Arial"/>
                <w:color w:val="1A2B4C"/>
                <w:sz w:val="18"/>
                <w:szCs w:val="18"/>
              </w:rPr>
              <w:t xml:space="preserve">ION Core (schema governance) + Type 2 sector-anchor TSPs + sector working groups</w:t>
            </w:r>
          </w:p>
        </w:tc>
      </w:tr>
    </w:tbl>
    <w:p>
      <w:pPr>
        <w:spacing w:before="60" w:after="0"/>
      </w:pPr>
    </w:p>
    <w:p>
      <w:pPr>
        <w:pBdr>
          <w:bottom w:val="single" w:color="CBD5E1" w:sz="6" w:space="1"/>
        </w:pBdr>
        <w:spacing w:before="200" w:after="40"/>
      </w:pPr>
    </w:p>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Borders>
              <w:top w:val="none" w:color="FFFFFF" w:sz="0"/>
              <w:left w:val="none" w:color="FFFFFF" w:sz="0"/>
              <w:bottom w:val="none" w:color="FFFFFF" w:sz="0"/>
              <w:right w:val="none" w:color="FFFFFF" w:sz="0"/>
            </w:tcBorders>
            <w:shd w:fill="0D9488" w:val="clear"/>
            <w:tcMar>
              <w:top w:type="dxa" w:w="120"/>
              <w:left w:type="dxa" w:w="160"/>
              <w:bottom w:type="dxa" w:w="120"/>
              <w:right w:type="dxa" w:w="160"/>
            </w:tcMar>
            <w:vAlign w:val="center"/>
          </w:tcPr>
          <w:p>
            <w:pPr>
              <w:spacing w:before="0" w:after="100"/>
              <w:jc w:val="center"/>
            </w:pPr>
            <w:r>
              <w:rPr>
                <w:rFonts w:ascii="Arial" w:cs="Arial" w:eastAsia="Arial" w:hAnsi="Arial"/>
                <w:b/>
                <w:bCs/>
                <w:color w:val="FFFFFF"/>
                <w:sz w:val="28"/>
                <w:szCs w:val="28"/>
              </w:rPr>
              <w:t xml:space="preserve">3</w:t>
            </w:r>
          </w:p>
        </w:tc>
        <w:tc>
          <w:tcPr>
            <w:tcBorders>
              <w:top w:val="single" w:color="0D9488" w:sz="1"/>
              <w:left w:val="single" w:color="0D9488" w:sz="1"/>
              <w:bottom w:val="single" w:color="0D9488" w:sz="1"/>
              <w:right w:val="single" w:color="0D9488" w:sz="1"/>
            </w:tcBorders>
            <w:shd w:fill="1A2B4C" w:val="clear"/>
            <w:tcMar>
              <w:top w:type="dxa" w:w="120"/>
              <w:left w:type="dxa" w:w="200"/>
              <w:bottom w:type="dxa" w:w="120"/>
              <w:right w:type="dxa" w:w="160"/>
            </w:tcMar>
            <w:vAlign w:val="center"/>
          </w:tcPr>
          <w:p>
            <w:pPr>
              <w:spacing w:before="0" w:after="100"/>
              <w:jc w:val="left"/>
            </w:pPr>
            <w:r>
              <w:rPr>
                <w:rFonts w:ascii="Arial" w:cs="Arial" w:eastAsia="Arial" w:hAnsi="Arial"/>
                <w:b/>
                <w:bCs/>
                <w:color w:val="FFFFFF"/>
                <w:sz w:val="26"/>
                <w:szCs w:val="26"/>
              </w:rPr>
              <w:t xml:space="preserve">Regulatory Compliance Attributes</w:t>
            </w:r>
          </w:p>
        </w:tc>
      </w:tr>
    </w:tbl>
    <w:p>
      <w:pPr>
        <w:spacing w:before="80" w:after="0"/>
      </w:pPr>
    </w:p>
    <w:p>
      <w:pPr>
        <w:spacing w:before="0" w:after="120"/>
        <w:jc w:val="left"/>
      </w:pPr>
      <w:r>
        <w:rPr>
          <w:rFonts w:ascii="Arial" w:cs="Arial" w:eastAsia="Arial" w:hAnsi="Arial"/>
          <w:sz w:val="20"/>
          <w:szCs w:val="20"/>
        </w:rPr>
        <w:t xml:space="preserve">Mandatory fields, tagging requirements, and data handling rules driven by Indonesian law — embedded into schema packs and enforced at the ONIX layer. These are not add-ons; they are baked into the schema from the start.</w:t>
      </w:r>
    </w:p>
    <w:p>
      <w:pPr>
        <w:pStyle w:val="ListParagraph"/>
        <w:numPr>
          <w:ilvl w:val="0"/>
          <w:numId w:val="2"/>
        </w:numPr>
        <w:spacing w:before="0" w:after="80"/>
      </w:pPr>
      <w:r>
        <w:rPr>
          <w:rFonts w:ascii="Arial" w:cs="Arial" w:eastAsia="Arial" w:hAnsi="Arial"/>
          <w:b/>
          <w:bCs/>
          <w:sz w:val="20"/>
          <w:szCs w:val="20"/>
        </w:rPr>
        <w:t xml:space="preserve">Halal (MUI / BPJPH): </w:t>
      </w:r>
      <w:r>
        <w:rPr>
          <w:rFonts w:ascii="Arial" w:cs="Arial" w:eastAsia="Arial" w:hAnsi="Arial"/>
          <w:sz w:val="20"/>
          <w:szCs w:val="20"/>
        </w:rPr>
        <w:t xml:space="preserve">Define halal_certified boolean, halal_certificate_number, halal_certifying_body, halal_expiry as structured fields on Trade and Hospitality Items. Halal flag is required (true/false) for all food items — absence is a schema validation error.</w:t>
      </w:r>
    </w:p>
    <w:p>
      <w:pPr>
        <w:pStyle w:val="ListParagraph"/>
        <w:numPr>
          <w:ilvl w:val="0"/>
          <w:numId w:val="2"/>
        </w:numPr>
        <w:spacing w:before="0" w:after="80"/>
      </w:pPr>
      <w:r>
        <w:rPr>
          <w:rFonts w:ascii="Arial" w:cs="Arial" w:eastAsia="Arial" w:hAnsi="Arial"/>
          <w:b/>
          <w:bCs/>
          <w:sz w:val="20"/>
          <w:szCs w:val="20"/>
        </w:rPr>
        <w:t xml:space="preserve">BPOM: </w:t>
      </w:r>
      <w:r>
        <w:rPr>
          <w:rFonts w:ascii="Arial" w:cs="Arial" w:eastAsia="Arial" w:hAnsi="Arial"/>
          <w:sz w:val="20"/>
          <w:szCs w:val="20"/>
        </w:rPr>
        <w:t xml:space="preserve">Define bpom_registration_number on food, drug, and cosmetic Items. Specify which Trade sub-categories require it and define format validation rules.</w:t>
      </w:r>
    </w:p>
    <w:p>
      <w:pPr>
        <w:pStyle w:val="ListParagraph"/>
        <w:numPr>
          <w:ilvl w:val="0"/>
          <w:numId w:val="2"/>
        </w:numPr>
        <w:spacing w:before="0" w:after="80"/>
      </w:pPr>
      <w:r>
        <w:rPr>
          <w:rFonts w:ascii="Arial" w:cs="Arial" w:eastAsia="Arial" w:hAnsi="Arial"/>
          <w:b/>
          <w:bCs/>
          <w:sz w:val="20"/>
          <w:szCs w:val="20"/>
        </w:rPr>
        <w:t xml:space="preserve">OJK Compliance: </w:t>
      </w:r>
      <w:r>
        <w:rPr>
          <w:rFonts w:ascii="Arial" w:cs="Arial" w:eastAsia="Arial" w:hAnsi="Arial"/>
          <w:sz w:val="20"/>
          <w:szCs w:val="20"/>
        </w:rPr>
        <w:t xml:space="preserve">Define OJK product category enum and OJK licence validation on Finance Seller App records. Define required OJK reporting fields on confirm and settlement events.</w:t>
      </w:r>
    </w:p>
    <w:p>
      <w:pPr>
        <w:pStyle w:val="ListParagraph"/>
        <w:numPr>
          <w:ilvl w:val="0"/>
          <w:numId w:val="2"/>
        </w:numPr>
        <w:spacing w:before="0" w:after="80"/>
      </w:pPr>
      <w:r>
        <w:rPr>
          <w:rFonts w:ascii="Arial" w:cs="Arial" w:eastAsia="Arial" w:hAnsi="Arial"/>
          <w:b/>
          <w:bCs/>
          <w:sz w:val="20"/>
          <w:szCs w:val="20"/>
        </w:rPr>
        <w:t xml:space="preserve">UU PDP (Personal Data Protection Law): </w:t>
      </w:r>
      <w:r>
        <w:rPr>
          <w:rFonts w:ascii="Arial" w:cs="Arial" w:eastAsia="Arial" w:hAnsi="Arial"/>
          <w:sz w:val="20"/>
          <w:szCs w:val="20"/>
        </w:rPr>
        <w:t xml:space="preserve">Define which buyer data fields Seller Apps may receive per sector. Write data minimisation rules. Define explicit consent flag schema for Finance. Write prohibited field transmission list. Define data retention metadata.</w:t>
      </w:r>
    </w:p>
    <w:p>
      <w:pPr>
        <w:pStyle w:val="ListParagraph"/>
        <w:numPr>
          <w:ilvl w:val="0"/>
          <w:numId w:val="2"/>
        </w:numPr>
        <w:spacing w:before="0" w:after="80"/>
      </w:pPr>
      <w:r>
        <w:rPr>
          <w:rFonts w:ascii="Arial" w:cs="Arial" w:eastAsia="Arial" w:hAnsi="Arial"/>
          <w:b/>
          <w:bCs/>
          <w:sz w:val="20"/>
          <w:szCs w:val="20"/>
        </w:rPr>
        <w:t xml:space="preserve">Bank Indonesia / QRIS Reporting: </w:t>
      </w:r>
      <w:r>
        <w:rPr>
          <w:rFonts w:ascii="Arial" w:cs="Arial" w:eastAsia="Arial" w:hAnsi="Arial"/>
          <w:sz w:val="20"/>
          <w:szCs w:val="20"/>
        </w:rPr>
        <w:t xml:space="preserve">Define QRIS transaction reference fields on the Payment entity. Specify BI-mandated metadata for QRIS transactions. Define reporting batch schema.</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7706" w:sz="1"/>
              <w:left w:val="single" w:color="D97706" w:sz="1"/>
              <w:bottom w:val="single" w:color="D97706" w:sz="1"/>
              <w:right w:val="single" w:color="D97706" w:sz="1"/>
            </w:tcBorders>
            <w:shd w:fill="D97706" w:val="clear"/>
            <w:tcMar>
              <w:top w:type="dxa" w:w="80"/>
              <w:left w:type="dxa" w:w="160"/>
              <w:bottom w:type="dxa" w:w="80"/>
              <w:right w:type="dxa" w:w="160"/>
            </w:tcMar>
          </w:tcPr>
          <w:p>
            <w:pPr>
              <w:spacing w:before="0" w:after="100"/>
              <w:jc w:val="left"/>
            </w:pPr>
            <w:r>
              <w:rPr>
                <w:rFonts w:ascii="Arial" w:cs="Arial" w:eastAsia="Arial" w:hAnsi="Arial"/>
                <w:b/>
                <w:bCs/>
                <w:color w:val="FFFFFF"/>
                <w:sz w:val="19"/>
                <w:szCs w:val="19"/>
              </w:rPr>
              <w:t xml:space="preserve">📌  Example: Halal compliance in a Trade transaction</w:t>
            </w:r>
          </w:p>
        </w:tc>
      </w:tr>
      <w:tr>
        <w:tc>
          <w:tcPr>
            <w:tcBorders>
              <w:top w:val="single" w:color="D97706" w:sz="1"/>
              <w:left w:val="single" w:color="D97706" w:sz="1"/>
              <w:bottom w:val="single" w:color="D97706" w:sz="1"/>
              <w:right w:val="single" w:color="D97706" w:sz="1"/>
            </w:tcBorders>
            <w:shd w:fill="FEF3C7" w:val="clear"/>
            <w:tcMar>
              <w:top w:type="dxa" w:w="60"/>
              <w:left w:type="dxa" w:w="200"/>
              <w:bottom w:type="dxa" w:w="60"/>
              <w:right w:type="dxa" w:w="160"/>
            </w:tcMar>
          </w:tcPr>
          <w:p>
            <w:pPr>
              <w:spacing w:before="0" w:after="40"/>
              <w:jc w:val="left"/>
            </w:pPr>
            <w:r>
              <w:rPr>
                <w:rFonts w:ascii="Arial" w:cs="Arial" w:eastAsia="Arial" w:hAnsi="Arial"/>
                <w:sz w:val="19"/>
                <w:szCs w:val="19"/>
              </w:rPr>
              <w:t xml:space="preserve">A Buyer App searches for food near a market. ION's schema requires every food Item to carry halal_certified: true or false — not blank. A warung that has MUI certification sets:</w:t>
            </w:r>
          </w:p>
        </w:tc>
      </w:tr>
      <w:tr>
        <w:tc>
          <w:tcPr>
            <w:tcBorders>
              <w:top w:val="single" w:color="D97706" w:sz="1"/>
              <w:left w:val="single" w:color="D97706" w:sz="1"/>
              <w:bottom w:val="single" w:color="D97706" w:sz="1"/>
              <w:right w:val="single" w:color="D97706" w:sz="1"/>
            </w:tcBorders>
            <w:shd w:fill="FEF3C7" w:val="clear"/>
            <w:tcMar>
              <w:top w:type="dxa" w:w="60"/>
              <w:left w:type="dxa" w:w="200"/>
              <w:bottom w:type="dxa" w:w="60"/>
              <w:right w:type="dxa" w:w="160"/>
            </w:tcMar>
          </w:tcPr>
          <w:p>
            <w:pPr>
              <w:spacing w:before="0" w:after="40"/>
              <w:jc w:val="left"/>
            </w:pPr>
            <w:r>
              <w:rPr>
                <w:rFonts w:ascii="Arial" w:cs="Arial" w:eastAsia="Arial" w:hAnsi="Arial"/>
                <w:b/>
                <w:bCs/>
                <w:sz w:val="19"/>
                <w:szCs w:val="19"/>
              </w:rPr>
              <w:t xml:space="preserve">halal_certified: true</w:t>
            </w:r>
            <w:r>
              <w:rPr>
                <w:rFonts w:ascii="Arial" w:cs="Arial" w:eastAsia="Arial" w:hAnsi="Arial"/>
                <w:sz w:val="19"/>
                <w:szCs w:val="19"/>
              </w:rPr>
              <w:t xml:space="preserve">,  halal_certificate_number: "MUI-JKT-2025-001234",  halal_certifying_body: "MUI",  halal_expiry: "2027-01-15"</w:t>
            </w:r>
          </w:p>
        </w:tc>
      </w:tr>
      <w:tr>
        <w:tc>
          <w:tcPr>
            <w:tcBorders>
              <w:top w:val="single" w:color="D97706" w:sz="1"/>
              <w:left w:val="single" w:color="D97706" w:sz="1"/>
              <w:bottom w:val="single" w:color="D97706" w:sz="1"/>
              <w:right w:val="single" w:color="D97706" w:sz="1"/>
            </w:tcBorders>
            <w:shd w:fill="FEF3C7" w:val="clear"/>
            <w:tcMar>
              <w:top w:type="dxa" w:w="60"/>
              <w:left w:type="dxa" w:w="200"/>
              <w:bottom w:type="dxa" w:w="60"/>
              <w:right w:type="dxa" w:w="160"/>
            </w:tcMar>
          </w:tcPr>
          <w:p>
            <w:pPr>
              <w:spacing w:before="0" w:after="40"/>
              <w:jc w:val="left"/>
            </w:pPr>
            <w:r>
              <w:rPr>
                <w:rFonts w:ascii="Arial" w:cs="Arial" w:eastAsia="Arial" w:hAnsi="Arial"/>
                <w:sz w:val="19"/>
                <w:szCs w:val="19"/>
              </w:rPr>
              <w:t xml:space="preserve">A Buyer App filtering for halal food can trust this field because it is validated at the ONIX layer — not just displayed text. If a Seller App attempts to publish a food Item with halal_certified absent entirely, ONIX rejects the catalog upload before it reaches CDS.</w:t>
            </w:r>
          </w:p>
        </w:tc>
      </w:tr>
    </w:tbl>
    <w:p>
      <w:pPr>
        <w:spacing w:before="8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9488" w:sz="1"/>
              <w:left w:val="single" w:color="0D9488" w:sz="1"/>
              <w:bottom w:val="single" w:color="0D9488" w:sz="1"/>
              <w:right w:val="single" w:color="0D9488" w:sz="1"/>
            </w:tcBorders>
            <w:shd w:fill="ECFDF5" w:val="clear"/>
            <w:tcMar>
              <w:top w:type="dxa" w:w="80"/>
              <w:left w:type="dxa" w:w="160"/>
              <w:bottom w:type="dxa" w:w="80"/>
              <w:right w:type="dxa" w:w="160"/>
            </w:tcMar>
          </w:tcPr>
          <w:p>
            <w:pPr>
              <w:spacing w:before="0" w:after="100"/>
              <w:jc w:val="left"/>
            </w:pPr>
            <w:r>
              <w:rPr>
                <w:rFonts w:ascii="Arial" w:cs="Arial" w:eastAsia="Arial" w:hAnsi="Arial"/>
                <w:b/>
                <w:bCs/>
                <w:color w:val="0D9488"/>
                <w:sz w:val="18"/>
                <w:szCs w:val="18"/>
              </w:rPr>
              <w:t xml:space="preserve">Primary Owner:  </w:t>
            </w:r>
            <w:r>
              <w:rPr>
                <w:rFonts w:ascii="Arial" w:cs="Arial" w:eastAsia="Arial" w:hAnsi="Arial"/>
                <w:color w:val="1A2B4C"/>
                <w:sz w:val="18"/>
                <w:szCs w:val="18"/>
              </w:rPr>
              <w:t xml:space="preserve">ION Core + legal / regulatory team</w:t>
            </w:r>
          </w:p>
        </w:tc>
      </w:tr>
    </w:tbl>
    <w:p>
      <w:pPr>
        <w:spacing w:before="60" w:after="0"/>
      </w:pPr>
    </w:p>
    <w:p>
      <w:pPr>
        <w:pBdr>
          <w:bottom w:val="single" w:color="CBD5E1" w:sz="6" w:space="1"/>
        </w:pBdr>
        <w:spacing w:before="200" w:after="40"/>
      </w:pPr>
    </w:p>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Borders>
              <w:top w:val="none" w:color="FFFFFF" w:sz="0"/>
              <w:left w:val="none" w:color="FFFFFF" w:sz="0"/>
              <w:bottom w:val="none" w:color="FFFFFF" w:sz="0"/>
              <w:right w:val="none" w:color="FFFFFF" w:sz="0"/>
            </w:tcBorders>
            <w:shd w:fill="0D9488" w:val="clear"/>
            <w:tcMar>
              <w:top w:type="dxa" w:w="120"/>
              <w:left w:type="dxa" w:w="160"/>
              <w:bottom w:type="dxa" w:w="120"/>
              <w:right w:type="dxa" w:w="160"/>
            </w:tcMar>
            <w:vAlign w:val="center"/>
          </w:tcPr>
          <w:p>
            <w:pPr>
              <w:spacing w:before="0" w:after="100"/>
              <w:jc w:val="center"/>
            </w:pPr>
            <w:r>
              <w:rPr>
                <w:rFonts w:ascii="Arial" w:cs="Arial" w:eastAsia="Arial" w:hAnsi="Arial"/>
                <w:b/>
                <w:bCs/>
                <w:color w:val="FFFFFF"/>
                <w:sz w:val="28"/>
                <w:szCs w:val="28"/>
              </w:rPr>
              <w:t xml:space="preserve">4</w:t>
            </w:r>
          </w:p>
        </w:tc>
        <w:tc>
          <w:tcPr>
            <w:tcBorders>
              <w:top w:val="single" w:color="0D9488" w:sz="1"/>
              <w:left w:val="single" w:color="0D9488" w:sz="1"/>
              <w:bottom w:val="single" w:color="0D9488" w:sz="1"/>
              <w:right w:val="single" w:color="0D9488" w:sz="1"/>
            </w:tcBorders>
            <w:shd w:fill="1A2B4C" w:val="clear"/>
            <w:tcMar>
              <w:top w:type="dxa" w:w="120"/>
              <w:left w:type="dxa" w:w="200"/>
              <w:bottom w:type="dxa" w:w="120"/>
              <w:right w:type="dxa" w:w="160"/>
            </w:tcMar>
            <w:vAlign w:val="center"/>
          </w:tcPr>
          <w:p>
            <w:pPr>
              <w:spacing w:before="0" w:after="100"/>
              <w:jc w:val="left"/>
            </w:pPr>
            <w:r>
              <w:rPr>
                <w:rFonts w:ascii="Arial" w:cs="Arial" w:eastAsia="Arial" w:hAnsi="Arial"/>
                <w:b/>
                <w:bCs/>
                <w:color w:val="FFFFFF"/>
                <w:sz w:val="26"/>
                <w:szCs w:val="26"/>
              </w:rPr>
              <w:t xml:space="preserve">Payment &amp; Settlement Schema</w:t>
            </w:r>
          </w:p>
        </w:tc>
      </w:tr>
    </w:tbl>
    <w:p>
      <w:pPr>
        <w:spacing w:before="80" w:after="0"/>
      </w:pPr>
    </w:p>
    <w:p>
      <w:pPr>
        <w:spacing w:before="0" w:after="120"/>
        <w:jc w:val="left"/>
      </w:pPr>
      <w:r>
        <w:rPr>
          <w:rFonts w:ascii="Arial" w:cs="Arial" w:eastAsia="Arial" w:hAnsi="Arial"/>
          <w:sz w:val="20"/>
          <w:szCs w:val="20"/>
        </w:rPr>
        <w:t xml:space="preserve">Extensions to the Beckn 2.0 Payment entity and a new Settlement entity to support Indonesia's payment rails and ION's multi-party settlement model — where every transaction involves splits across seller, logistics, platform, and potentially insurance.</w:t>
      </w:r>
    </w:p>
    <w:p>
      <w:pPr>
        <w:pStyle w:val="ListParagraph"/>
        <w:numPr>
          <w:ilvl w:val="0"/>
          <w:numId w:val="2"/>
        </w:numPr>
        <w:spacing w:before="0" w:after="80"/>
      </w:pPr>
      <w:r>
        <w:rPr>
          <w:rFonts w:ascii="Arial" w:cs="Arial" w:eastAsia="Arial" w:hAnsi="Arial"/>
          <w:sz w:val="20"/>
          <w:szCs w:val="20"/>
        </w:rPr>
        <w:t xml:space="preserve">Define QRIS as a named payment instrument type with fields: qris_merchant_id, qris_nmid, qris_transaction_id</w:t>
      </w:r>
    </w:p>
    <w:p>
      <w:pPr>
        <w:pStyle w:val="ListParagraph"/>
        <w:numPr>
          <w:ilvl w:val="0"/>
          <w:numId w:val="2"/>
        </w:numPr>
        <w:spacing w:before="0" w:after="80"/>
      </w:pPr>
      <w:r>
        <w:rPr>
          <w:rFonts w:ascii="Arial" w:cs="Arial" w:eastAsia="Arial" w:hAnsi="Arial"/>
          <w:sz w:val="20"/>
          <w:szCs w:val="20"/>
        </w:rPr>
        <w:t xml:space="preserve">Define BI_FAST as a settlement rail type on the Settlement entity</w:t>
      </w:r>
    </w:p>
    <w:p>
      <w:pPr>
        <w:pStyle w:val="ListParagraph"/>
        <w:numPr>
          <w:ilvl w:val="0"/>
          <w:numId w:val="2"/>
        </w:numPr>
        <w:spacing w:before="0" w:after="80"/>
      </w:pPr>
      <w:r>
        <w:rPr>
          <w:rFonts w:ascii="Arial" w:cs="Arial" w:eastAsia="Arial" w:hAnsi="Arial"/>
          <w:sz w:val="20"/>
          <w:szCs w:val="20"/>
        </w:rPr>
        <w:t xml:space="preserve">Define multi-party payment_split schema: array of { party_role, party_id, amount, settlement_rail, account_reference } with roles: seller, logistics_provider, platform, insurance_provider, tax_authority</w:t>
      </w:r>
    </w:p>
    <w:p>
      <w:pPr>
        <w:pStyle w:val="ListParagraph"/>
        <w:numPr>
          <w:ilvl w:val="0"/>
          <w:numId w:val="2"/>
        </w:numPr>
        <w:spacing w:before="0" w:after="80"/>
      </w:pPr>
      <w:r>
        <w:rPr>
          <w:rFonts w:ascii="Arial" w:cs="Arial" w:eastAsia="Arial" w:hAnsi="Arial"/>
          <w:sz w:val="20"/>
          <w:szCs w:val="20"/>
        </w:rPr>
        <w:t xml:space="preserve">Define escrow hold schema for split payments pending fulfilment confirmation</w:t>
      </w:r>
    </w:p>
    <w:p>
      <w:pPr>
        <w:pStyle w:val="ListParagraph"/>
        <w:numPr>
          <w:ilvl w:val="0"/>
          <w:numId w:val="2"/>
        </w:numPr>
        <w:spacing w:before="0" w:after="80"/>
      </w:pPr>
      <w:r>
        <w:rPr>
          <w:rFonts w:ascii="Arial" w:cs="Arial" w:eastAsia="Arial" w:hAnsi="Arial"/>
          <w:sz w:val="20"/>
          <w:szCs w:val="20"/>
        </w:rPr>
        <w:t xml:space="preserve">Define Settlement entity fields: settlement_id, bi_fast_reference, settlement_timestamp, settlement_status, and SLA target (sub-1-hour for standard transactions)</w:t>
      </w:r>
    </w:p>
    <w:p>
      <w:pPr>
        <w:pStyle w:val="ListParagraph"/>
        <w:numPr>
          <w:ilvl w:val="0"/>
          <w:numId w:val="2"/>
        </w:numPr>
        <w:spacing w:before="0" w:after="80"/>
      </w:pPr>
      <w:r>
        <w:rPr>
          <w:rFonts w:ascii="Arial" w:cs="Arial" w:eastAsia="Arial" w:hAnsi="Arial"/>
          <w:sz w:val="20"/>
          <w:szCs w:val="20"/>
        </w:rPr>
        <w:t xml:space="preserve">Define reconciliation reference linking settlement back to the originating order</w:t>
      </w:r>
    </w:p>
    <w:p>
      <w:pPr>
        <w:pStyle w:val="ListParagraph"/>
        <w:numPr>
          <w:ilvl w:val="0"/>
          <w:numId w:val="2"/>
        </w:numPr>
        <w:spacing w:before="0" w:after="80"/>
      </w:pPr>
      <w:r>
        <w:rPr>
          <w:rFonts w:ascii="Arial" w:cs="Arial" w:eastAsia="Arial" w:hAnsi="Arial"/>
          <w:sz w:val="20"/>
          <w:szCs w:val="20"/>
        </w:rPr>
        <w:t xml:space="preserve">Define multi-party payout flow for cross-sector transactions (Trade + Logistics + Finance in a single settlement)</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7706" w:sz="1"/>
              <w:left w:val="single" w:color="D97706" w:sz="1"/>
              <w:bottom w:val="single" w:color="D97706" w:sz="1"/>
              <w:right w:val="single" w:color="D97706" w:sz="1"/>
            </w:tcBorders>
            <w:shd w:fill="D97706" w:val="clear"/>
            <w:tcMar>
              <w:top w:type="dxa" w:w="80"/>
              <w:left w:type="dxa" w:w="160"/>
              <w:bottom w:type="dxa" w:w="80"/>
              <w:right w:type="dxa" w:w="160"/>
            </w:tcMar>
          </w:tcPr>
          <w:p>
            <w:pPr>
              <w:spacing w:before="0" w:after="100"/>
              <w:jc w:val="left"/>
            </w:pPr>
            <w:r>
              <w:rPr>
                <w:rFonts w:ascii="Arial" w:cs="Arial" w:eastAsia="Arial" w:hAnsi="Arial"/>
                <w:b/>
                <w:bCs/>
                <w:color w:val="FFFFFF"/>
                <w:sz w:val="19"/>
                <w:szCs w:val="19"/>
              </w:rPr>
              <w:t xml:space="preserve">📌  Example: Multi-party settlement on a Trade + Logistics order</w:t>
            </w:r>
          </w:p>
        </w:tc>
      </w:tr>
      <w:tr>
        <w:tc>
          <w:tcPr>
            <w:tcBorders>
              <w:top w:val="single" w:color="D97706" w:sz="1"/>
              <w:left w:val="single" w:color="D97706" w:sz="1"/>
              <w:bottom w:val="single" w:color="D97706" w:sz="1"/>
              <w:right w:val="single" w:color="D97706" w:sz="1"/>
            </w:tcBorders>
            <w:shd w:fill="FEF3C7" w:val="clear"/>
            <w:tcMar>
              <w:top w:type="dxa" w:w="60"/>
              <w:left w:type="dxa" w:w="200"/>
              <w:bottom w:type="dxa" w:w="60"/>
              <w:right w:type="dxa" w:w="160"/>
            </w:tcMar>
          </w:tcPr>
          <w:p>
            <w:pPr>
              <w:spacing w:before="0" w:after="40"/>
              <w:jc w:val="left"/>
            </w:pPr>
            <w:r>
              <w:rPr>
                <w:rFonts w:ascii="Arial" w:cs="Arial" w:eastAsia="Arial" w:hAnsi="Arial"/>
                <w:sz w:val="19"/>
                <w:szCs w:val="19"/>
              </w:rPr>
              <w:t xml:space="preserve">A customer orders Rp 120,000 of groceries from a warung, with delivery by a logistics partner, facilitated by a Buyer App platform, with Rp 5,000 micro-insurance attached.</w:t>
            </w:r>
          </w:p>
        </w:tc>
      </w:tr>
      <w:tr>
        <w:tc>
          <w:tcPr>
            <w:tcBorders>
              <w:top w:val="single" w:color="D97706" w:sz="1"/>
              <w:left w:val="single" w:color="D97706" w:sz="1"/>
              <w:bottom w:val="single" w:color="D97706" w:sz="1"/>
              <w:right w:val="single" w:color="D97706" w:sz="1"/>
            </w:tcBorders>
            <w:shd w:fill="FEF3C7" w:val="clear"/>
            <w:tcMar>
              <w:top w:type="dxa" w:w="60"/>
              <w:left w:type="dxa" w:w="200"/>
              <w:bottom w:type="dxa" w:w="60"/>
              <w:right w:type="dxa" w:w="160"/>
            </w:tcMar>
          </w:tcPr>
          <w:p>
            <w:pPr>
              <w:spacing w:before="0" w:after="40"/>
              <w:jc w:val="left"/>
            </w:pPr>
            <w:r>
              <w:rPr>
                <w:rFonts w:ascii="Arial" w:cs="Arial" w:eastAsia="Arial" w:hAnsi="Arial"/>
                <w:sz w:val="19"/>
                <w:szCs w:val="19"/>
              </w:rPr>
              <w:t xml:space="preserve">ION's payment_split schema distributes the payment at confirm:</w:t>
            </w:r>
          </w:p>
        </w:tc>
      </w:tr>
      <w:tr>
        <w:tc>
          <w:tcPr>
            <w:tcBorders>
              <w:top w:val="single" w:color="D97706" w:sz="1"/>
              <w:left w:val="single" w:color="D97706" w:sz="1"/>
              <w:bottom w:val="single" w:color="D97706" w:sz="1"/>
              <w:right w:val="single" w:color="D97706" w:sz="1"/>
            </w:tcBorders>
            <w:shd w:fill="FEF3C7" w:val="clear"/>
            <w:tcMar>
              <w:top w:type="dxa" w:w="60"/>
              <w:left w:type="dxa" w:w="200"/>
              <w:bottom w:type="dxa" w:w="60"/>
              <w:right w:type="dxa" w:w="160"/>
            </w:tcMar>
          </w:tcPr>
          <w:p>
            <w:pPr>
              <w:spacing w:before="0" w:after="40"/>
              <w:jc w:val="left"/>
            </w:pPr>
            <w:r>
              <w:rPr>
                <w:rFonts w:ascii="Arial" w:cs="Arial" w:eastAsia="Arial" w:hAnsi="Arial"/>
                <w:b/>
                <w:bCs/>
                <w:sz w:val="19"/>
                <w:szCs w:val="19"/>
              </w:rPr>
              <w:t xml:space="preserve">Seller (warung):</w:t>
            </w:r>
            <w:r>
              <w:rPr>
                <w:rFonts w:ascii="Arial" w:cs="Arial" w:eastAsia="Arial" w:hAnsi="Arial"/>
                <w:sz w:val="19"/>
                <w:szCs w:val="19"/>
              </w:rPr>
              <w:t xml:space="preserve">  Rp 96,000  — via BI-FAST to warung's BRI account</w:t>
            </w:r>
          </w:p>
        </w:tc>
      </w:tr>
      <w:tr>
        <w:tc>
          <w:tcPr>
            <w:tcBorders>
              <w:top w:val="single" w:color="D97706" w:sz="1"/>
              <w:left w:val="single" w:color="D97706" w:sz="1"/>
              <w:bottom w:val="single" w:color="D97706" w:sz="1"/>
              <w:right w:val="single" w:color="D97706" w:sz="1"/>
            </w:tcBorders>
            <w:shd w:fill="FEF3C7" w:val="clear"/>
            <w:tcMar>
              <w:top w:type="dxa" w:w="60"/>
              <w:left w:type="dxa" w:w="200"/>
              <w:bottom w:type="dxa" w:w="60"/>
              <w:right w:type="dxa" w:w="160"/>
            </w:tcMar>
          </w:tcPr>
          <w:p>
            <w:pPr>
              <w:spacing w:before="0" w:after="40"/>
              <w:jc w:val="left"/>
            </w:pPr>
            <w:r>
              <w:rPr>
                <w:rFonts w:ascii="Arial" w:cs="Arial" w:eastAsia="Arial" w:hAnsi="Arial"/>
                <w:b/>
                <w:bCs/>
                <w:sz w:val="19"/>
                <w:szCs w:val="19"/>
              </w:rPr>
              <w:t xml:space="preserve">Logistics provider:</w:t>
            </w:r>
            <w:r>
              <w:rPr>
                <w:rFonts w:ascii="Arial" w:cs="Arial" w:eastAsia="Arial" w:hAnsi="Arial"/>
                <w:sz w:val="19"/>
                <w:szCs w:val="19"/>
              </w:rPr>
              <w:t xml:space="preserve">  Rp 15,000  — via BI-FAST to driver's GoPay wallet</w:t>
            </w:r>
          </w:p>
        </w:tc>
      </w:tr>
      <w:tr>
        <w:tc>
          <w:tcPr>
            <w:tcBorders>
              <w:top w:val="single" w:color="D97706" w:sz="1"/>
              <w:left w:val="single" w:color="D97706" w:sz="1"/>
              <w:bottom w:val="single" w:color="D97706" w:sz="1"/>
              <w:right w:val="single" w:color="D97706" w:sz="1"/>
            </w:tcBorders>
            <w:shd w:fill="FEF3C7" w:val="clear"/>
            <w:tcMar>
              <w:top w:type="dxa" w:w="60"/>
              <w:left w:type="dxa" w:w="200"/>
              <w:bottom w:type="dxa" w:w="60"/>
              <w:right w:type="dxa" w:w="160"/>
            </w:tcMar>
          </w:tcPr>
          <w:p>
            <w:pPr>
              <w:spacing w:before="0" w:after="40"/>
              <w:jc w:val="left"/>
            </w:pPr>
            <w:r>
              <w:rPr>
                <w:rFonts w:ascii="Arial" w:cs="Arial" w:eastAsia="Arial" w:hAnsi="Arial"/>
                <w:b/>
                <w:bCs/>
                <w:sz w:val="19"/>
                <w:szCs w:val="19"/>
              </w:rPr>
              <w:t xml:space="preserve">Platform fee:</w:t>
            </w:r>
            <w:r>
              <w:rPr>
                <w:rFonts w:ascii="Arial" w:cs="Arial" w:eastAsia="Arial" w:hAnsi="Arial"/>
                <w:sz w:val="19"/>
                <w:szCs w:val="19"/>
              </w:rPr>
              <w:t xml:space="preserve">  Rp 4,000   — to Buyer App operator</w:t>
            </w:r>
          </w:p>
        </w:tc>
      </w:tr>
      <w:tr>
        <w:tc>
          <w:tcPr>
            <w:tcBorders>
              <w:top w:val="single" w:color="D97706" w:sz="1"/>
              <w:left w:val="single" w:color="D97706" w:sz="1"/>
              <w:bottom w:val="single" w:color="D97706" w:sz="1"/>
              <w:right w:val="single" w:color="D97706" w:sz="1"/>
            </w:tcBorders>
            <w:shd w:fill="FEF3C7" w:val="clear"/>
            <w:tcMar>
              <w:top w:type="dxa" w:w="60"/>
              <w:left w:type="dxa" w:w="200"/>
              <w:bottom w:type="dxa" w:w="60"/>
              <w:right w:type="dxa" w:w="160"/>
            </w:tcMar>
          </w:tcPr>
          <w:p>
            <w:pPr>
              <w:spacing w:before="0" w:after="40"/>
              <w:jc w:val="left"/>
            </w:pPr>
            <w:r>
              <w:rPr>
                <w:rFonts w:ascii="Arial" w:cs="Arial" w:eastAsia="Arial" w:hAnsi="Arial"/>
                <w:b/>
                <w:bCs/>
                <w:sz w:val="19"/>
                <w:szCs w:val="19"/>
              </w:rPr>
              <w:t xml:space="preserve">Insurance premium:</w:t>
            </w:r>
            <w:r>
              <w:rPr>
                <w:rFonts w:ascii="Arial" w:cs="Arial" w:eastAsia="Arial" w:hAnsi="Arial"/>
                <w:sz w:val="19"/>
                <w:szCs w:val="19"/>
              </w:rPr>
              <w:t xml:space="preserve">  Rp 5,000   — to Finance TSP</w:t>
            </w:r>
          </w:p>
        </w:tc>
      </w:tr>
      <w:tr>
        <w:tc>
          <w:tcPr>
            <w:tcBorders>
              <w:top w:val="single" w:color="D97706" w:sz="1"/>
              <w:left w:val="single" w:color="D97706" w:sz="1"/>
              <w:bottom w:val="single" w:color="D97706" w:sz="1"/>
              <w:right w:val="single" w:color="D97706" w:sz="1"/>
            </w:tcBorders>
            <w:shd w:fill="FEF3C7" w:val="clear"/>
            <w:tcMar>
              <w:top w:type="dxa" w:w="60"/>
              <w:left w:type="dxa" w:w="200"/>
              <w:bottom w:type="dxa" w:w="60"/>
              <w:right w:type="dxa" w:w="160"/>
            </w:tcMar>
          </w:tcPr>
          <w:p>
            <w:pPr>
              <w:spacing w:before="0" w:after="40"/>
              <w:jc w:val="left"/>
            </w:pPr>
            <w:r>
              <w:rPr>
                <w:rFonts w:ascii="Arial" w:cs="Arial" w:eastAsia="Arial" w:hAnsi="Arial"/>
                <w:sz w:val="19"/>
                <w:szCs w:val="19"/>
              </w:rPr>
              <w:t xml:space="preserve">All four disbursements happen automatically via BI-FAST within 60 minutes of delivery confirmation — without any manual reconciliation.</w:t>
            </w:r>
          </w:p>
        </w:tc>
      </w:tr>
    </w:tbl>
    <w:p>
      <w:pPr>
        <w:spacing w:before="8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9488" w:sz="1"/>
              <w:left w:val="single" w:color="0D9488" w:sz="1"/>
              <w:bottom w:val="single" w:color="0D9488" w:sz="1"/>
              <w:right w:val="single" w:color="0D9488" w:sz="1"/>
            </w:tcBorders>
            <w:shd w:fill="ECFDF5" w:val="clear"/>
            <w:tcMar>
              <w:top w:type="dxa" w:w="80"/>
              <w:left w:type="dxa" w:w="160"/>
              <w:bottom w:type="dxa" w:w="80"/>
              <w:right w:type="dxa" w:w="160"/>
            </w:tcMar>
          </w:tcPr>
          <w:p>
            <w:pPr>
              <w:spacing w:before="0" w:after="100"/>
              <w:jc w:val="left"/>
            </w:pPr>
            <w:r>
              <w:rPr>
                <w:rFonts w:ascii="Arial" w:cs="Arial" w:eastAsia="Arial" w:hAnsi="Arial"/>
                <w:b/>
                <w:bCs/>
                <w:color w:val="0D9488"/>
                <w:sz w:val="18"/>
                <w:szCs w:val="18"/>
              </w:rPr>
              <w:t xml:space="preserve">Primary Owner:  </w:t>
            </w:r>
            <w:r>
              <w:rPr>
                <w:rFonts w:ascii="Arial" w:cs="Arial" w:eastAsia="Arial" w:hAnsi="Arial"/>
                <w:color w:val="1A2B4C"/>
                <w:sz w:val="18"/>
                <w:szCs w:val="18"/>
              </w:rPr>
              <w:t xml:space="preserve">Type 2 TSP — Finance / Payment anchor (EasyPay / Bayar Cepat)</w:t>
            </w:r>
          </w:p>
        </w:tc>
      </w:tr>
    </w:tbl>
    <w:p>
      <w:pPr>
        <w:spacing w:before="60" w:after="0"/>
      </w:pPr>
    </w:p>
    <w:p>
      <w:pPr>
        <w:pBdr>
          <w:bottom w:val="single" w:color="CBD5E1" w:sz="6" w:space="1"/>
        </w:pBdr>
        <w:spacing w:before="200" w:after="40"/>
      </w:pPr>
    </w:p>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Borders>
              <w:top w:val="none" w:color="FFFFFF" w:sz="0"/>
              <w:left w:val="none" w:color="FFFFFF" w:sz="0"/>
              <w:bottom w:val="none" w:color="FFFFFF" w:sz="0"/>
              <w:right w:val="none" w:color="FFFFFF" w:sz="0"/>
            </w:tcBorders>
            <w:shd w:fill="0D9488" w:val="clear"/>
            <w:tcMar>
              <w:top w:type="dxa" w:w="120"/>
              <w:left w:type="dxa" w:w="160"/>
              <w:bottom w:type="dxa" w:w="120"/>
              <w:right w:type="dxa" w:w="160"/>
            </w:tcMar>
            <w:vAlign w:val="center"/>
          </w:tcPr>
          <w:p>
            <w:pPr>
              <w:spacing w:before="0" w:after="100"/>
              <w:jc w:val="center"/>
            </w:pPr>
            <w:r>
              <w:rPr>
                <w:rFonts w:ascii="Arial" w:cs="Arial" w:eastAsia="Arial" w:hAnsi="Arial"/>
                <w:b/>
                <w:bCs/>
                <w:color w:val="FFFFFF"/>
                <w:sz w:val="28"/>
                <w:szCs w:val="28"/>
              </w:rPr>
              <w:t xml:space="preserve">5</w:t>
            </w:r>
          </w:p>
        </w:tc>
        <w:tc>
          <w:tcPr>
            <w:tcBorders>
              <w:top w:val="single" w:color="0D9488" w:sz="1"/>
              <w:left w:val="single" w:color="0D9488" w:sz="1"/>
              <w:bottom w:val="single" w:color="0D9488" w:sz="1"/>
              <w:right w:val="single" w:color="0D9488" w:sz="1"/>
            </w:tcBorders>
            <w:shd w:fill="1A2B4C" w:val="clear"/>
            <w:tcMar>
              <w:top w:type="dxa" w:w="120"/>
              <w:left w:type="dxa" w:w="200"/>
              <w:bottom w:type="dxa" w:w="120"/>
              <w:right w:type="dxa" w:w="160"/>
            </w:tcMar>
            <w:vAlign w:val="center"/>
          </w:tcPr>
          <w:p>
            <w:pPr>
              <w:spacing w:before="0" w:after="100"/>
              <w:jc w:val="left"/>
            </w:pPr>
            <w:r>
              <w:rPr>
                <w:rFonts w:ascii="Arial" w:cs="Arial" w:eastAsia="Arial" w:hAnsi="Arial"/>
                <w:b/>
                <w:bCs/>
                <w:color w:val="FFFFFF"/>
                <w:sz w:val="26"/>
                <w:szCs w:val="26"/>
              </w:rPr>
              <w:t xml:space="preserve">Geographic &amp; Fulfilment Extensions</w:t>
            </w:r>
          </w:p>
        </w:tc>
      </w:tr>
    </w:tbl>
    <w:p>
      <w:pPr>
        <w:spacing w:before="80" w:after="0"/>
      </w:pPr>
    </w:p>
    <w:p>
      <w:pPr>
        <w:spacing w:before="0" w:after="120"/>
        <w:jc w:val="left"/>
      </w:pPr>
      <w:r>
        <w:rPr>
          <w:rFonts w:ascii="Arial" w:cs="Arial" w:eastAsia="Arial" w:hAnsi="Arial"/>
          <w:sz w:val="20"/>
          <w:szCs w:val="20"/>
        </w:rPr>
        <w:t xml:space="preserve">Extensions to Location and Fulfilment entities for Indonesia's archipelago geography — which standard lat/long + city fields do not adequately capture.</w:t>
      </w:r>
    </w:p>
    <w:p>
      <w:pPr>
        <w:pStyle w:val="ListParagraph"/>
        <w:numPr>
          <w:ilvl w:val="0"/>
          <w:numId w:val="2"/>
        </w:numPr>
        <w:spacing w:before="0" w:after="80"/>
      </w:pPr>
      <w:r>
        <w:rPr>
          <w:rFonts w:ascii="Arial" w:cs="Arial" w:eastAsia="Arial" w:hAnsi="Arial"/>
          <w:sz w:val="20"/>
          <w:szCs w:val="20"/>
        </w:rPr>
        <w:t xml:space="preserve">Define Indonesia administrative location hierarchy as structured fields: Island → Province → Kabupaten → Kecamatan → Kelurahan (not free text)</w:t>
      </w:r>
    </w:p>
    <w:p>
      <w:pPr>
        <w:pStyle w:val="ListParagraph"/>
        <w:numPr>
          <w:ilvl w:val="0"/>
          <w:numId w:val="2"/>
        </w:numPr>
        <w:spacing w:before="0" w:after="80"/>
      </w:pPr>
      <w:r>
        <w:rPr>
          <w:rFonts w:ascii="Arial" w:cs="Arial" w:eastAsia="Arial" w:hAnsi="Arial"/>
          <w:sz w:val="20"/>
          <w:szCs w:val="20"/>
        </w:rPr>
        <w:t xml:space="preserve">Define inter-island routing attributes on Fulfilment: origin island, destination island, routing mode enum</w:t>
      </w:r>
    </w:p>
    <w:p>
      <w:pPr>
        <w:pStyle w:val="ListParagraph"/>
        <w:numPr>
          <w:ilvl w:val="0"/>
          <w:numId w:val="2"/>
        </w:numPr>
        <w:spacing w:before="0" w:after="80"/>
      </w:pPr>
      <w:r>
        <w:rPr>
          <w:rFonts w:ascii="Arial" w:cs="Arial" w:eastAsia="Arial" w:hAnsi="Arial"/>
          <w:sz w:val="20"/>
          <w:szCs w:val="20"/>
        </w:rPr>
        <w:t xml:space="preserve">Define connectivity zone tag on Provider: urban, peri_urban, remote, offline_capable</w:t>
      </w:r>
    </w:p>
    <w:p>
      <w:pPr>
        <w:pStyle w:val="ListParagraph"/>
        <w:numPr>
          <w:ilvl w:val="0"/>
          <w:numId w:val="2"/>
        </w:numPr>
        <w:spacing w:before="0" w:after="80"/>
      </w:pPr>
      <w:r>
        <w:rPr>
          <w:rFonts w:ascii="Arial" w:cs="Arial" w:eastAsia="Arial" w:hAnsi="Arial"/>
          <w:sz w:val="20"/>
          <w:szCs w:val="20"/>
        </w:rPr>
        <w:t xml:space="preserve">Define NLE shipment reference field and NLE participant registration on Logistics Providers</w:t>
      </w:r>
    </w:p>
    <w:p>
      <w:pPr>
        <w:pStyle w:val="ListParagraph"/>
        <w:numPr>
          <w:ilvl w:val="0"/>
          <w:numId w:val="2"/>
        </w:numPr>
        <w:spacing w:before="0" w:after="80"/>
      </w:pPr>
      <w:r>
        <w:rPr>
          <w:rFonts w:ascii="Arial" w:cs="Arial" w:eastAsia="Arial" w:hAnsi="Arial"/>
          <w:sz w:val="20"/>
          <w:szCs w:val="20"/>
        </w:rPr>
        <w:t xml:space="preserve">Define hyperlocal delivery radius field for Trade (warung-type providers)</w:t>
      </w:r>
    </w:p>
    <w:p>
      <w:pPr>
        <w:pStyle w:val="ListParagraph"/>
        <w:numPr>
          <w:ilvl w:val="0"/>
          <w:numId w:val="2"/>
        </w:numPr>
        <w:spacing w:before="0" w:after="80"/>
      </w:pPr>
      <w:r>
        <w:rPr>
          <w:rFonts w:ascii="Arial" w:cs="Arial" w:eastAsia="Arial" w:hAnsi="Arial"/>
          <w:sz w:val="20"/>
          <w:szCs w:val="20"/>
        </w:rPr>
        <w:t xml:space="preserve">Define slot / appointment fulfilment schema for Services sector (distinct from delivery-based fulfilment)</w:t>
      </w:r>
    </w:p>
    <w:p>
      <w:pPr>
        <w:pStyle w:val="ListParagraph"/>
        <w:numPr>
          <w:ilvl w:val="0"/>
          <w:numId w:val="2"/>
        </w:numPr>
        <w:spacing w:before="0" w:after="80"/>
      </w:pPr>
      <w:r>
        <w:rPr>
          <w:rFonts w:ascii="Arial" w:cs="Arial" w:eastAsia="Arial" w:hAnsi="Arial"/>
          <w:sz w:val="20"/>
          <w:szCs w:val="20"/>
        </w:rPr>
        <w:t xml:space="preserve">Define delivery time range (min/max) for inter-island — replacing single ETA timestamp</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7706" w:sz="1"/>
              <w:left w:val="single" w:color="D97706" w:sz="1"/>
              <w:bottom w:val="single" w:color="D97706" w:sz="1"/>
              <w:right w:val="single" w:color="D97706" w:sz="1"/>
            </w:tcBorders>
            <w:shd w:fill="D97706" w:val="clear"/>
            <w:tcMar>
              <w:top w:type="dxa" w:w="80"/>
              <w:left w:type="dxa" w:w="160"/>
              <w:bottom w:type="dxa" w:w="80"/>
              <w:right w:type="dxa" w:w="160"/>
            </w:tcMar>
          </w:tcPr>
          <w:p>
            <w:pPr>
              <w:spacing w:before="0" w:after="100"/>
              <w:jc w:val="left"/>
            </w:pPr>
            <w:r>
              <w:rPr>
                <w:rFonts w:ascii="Arial" w:cs="Arial" w:eastAsia="Arial" w:hAnsi="Arial"/>
                <w:b/>
                <w:bCs/>
                <w:color w:val="FFFFFF"/>
                <w:sz w:val="19"/>
                <w:szCs w:val="19"/>
              </w:rPr>
              <w:t xml:space="preserve">📌  Example: Inter-island shipment from Java to Flores</w:t>
            </w:r>
          </w:p>
        </w:tc>
      </w:tr>
      <w:tr>
        <w:tc>
          <w:tcPr>
            <w:tcBorders>
              <w:top w:val="single" w:color="D97706" w:sz="1"/>
              <w:left w:val="single" w:color="D97706" w:sz="1"/>
              <w:bottom w:val="single" w:color="D97706" w:sz="1"/>
              <w:right w:val="single" w:color="D97706" w:sz="1"/>
            </w:tcBorders>
            <w:shd w:fill="FEF3C7" w:val="clear"/>
            <w:tcMar>
              <w:top w:type="dxa" w:w="60"/>
              <w:left w:type="dxa" w:w="200"/>
              <w:bottom w:type="dxa" w:w="60"/>
              <w:right w:type="dxa" w:w="160"/>
            </w:tcMar>
          </w:tcPr>
          <w:p>
            <w:pPr>
              <w:spacing w:before="0" w:after="40"/>
              <w:jc w:val="left"/>
            </w:pPr>
            <w:r>
              <w:rPr>
                <w:rFonts w:ascii="Arial" w:cs="Arial" w:eastAsia="Arial" w:hAnsi="Arial"/>
                <w:sz w:val="19"/>
                <w:szCs w:val="19"/>
              </w:rPr>
              <w:t xml:space="preserve">A Seller App in Surabaya receives an order to deliver electronics to Ende, Flores. Standard lat/long fields cannot capture the logistics complexity. ION's Geographic schema defines:</w:t>
            </w:r>
          </w:p>
        </w:tc>
      </w:tr>
      <w:tr>
        <w:tc>
          <w:tcPr>
            <w:tcBorders>
              <w:top w:val="single" w:color="D97706" w:sz="1"/>
              <w:left w:val="single" w:color="D97706" w:sz="1"/>
              <w:bottom w:val="single" w:color="D97706" w:sz="1"/>
              <w:right w:val="single" w:color="D97706" w:sz="1"/>
            </w:tcBorders>
            <w:shd w:fill="FEF3C7" w:val="clear"/>
            <w:tcMar>
              <w:top w:type="dxa" w:w="60"/>
              <w:left w:type="dxa" w:w="200"/>
              <w:bottom w:type="dxa" w:w="60"/>
              <w:right w:type="dxa" w:w="160"/>
            </w:tcMar>
          </w:tcPr>
          <w:p>
            <w:pPr>
              <w:spacing w:before="0" w:after="40"/>
              <w:jc w:val="left"/>
            </w:pPr>
            <w:r>
              <w:rPr>
                <w:rFonts w:ascii="Arial" w:cs="Arial" w:eastAsia="Arial" w:hAnsi="Arial"/>
                <w:b/>
                <w:bCs/>
                <w:sz w:val="19"/>
                <w:szCs w:val="19"/>
              </w:rPr>
              <w:t xml:space="preserve">origin_island: "Java",  destination_island: "Flores"</w:t>
            </w:r>
          </w:p>
        </w:tc>
      </w:tr>
      <w:tr>
        <w:tc>
          <w:tcPr>
            <w:tcBorders>
              <w:top w:val="single" w:color="D97706" w:sz="1"/>
              <w:left w:val="single" w:color="D97706" w:sz="1"/>
              <w:bottom w:val="single" w:color="D97706" w:sz="1"/>
              <w:right w:val="single" w:color="D97706" w:sz="1"/>
            </w:tcBorders>
            <w:shd w:fill="FEF3C7" w:val="clear"/>
            <w:tcMar>
              <w:top w:type="dxa" w:w="60"/>
              <w:left w:type="dxa" w:w="200"/>
              <w:bottom w:type="dxa" w:w="60"/>
              <w:right w:type="dxa" w:w="160"/>
            </w:tcMar>
          </w:tcPr>
          <w:p>
            <w:pPr>
              <w:spacing w:before="0" w:after="40"/>
              <w:jc w:val="left"/>
            </w:pPr>
            <w:r>
              <w:rPr>
                <w:rFonts w:ascii="Arial" w:cs="Arial" w:eastAsia="Arial" w:hAnsi="Arial"/>
                <w:b/>
                <w:bCs/>
                <w:sz w:val="19"/>
                <w:szCs w:val="19"/>
              </w:rPr>
              <w:t xml:space="preserve">routing_mode: "multimodal"</w:t>
            </w:r>
            <w:r>
              <w:rPr>
                <w:rFonts w:ascii="Arial" w:cs="Arial" w:eastAsia="Arial" w:hAnsi="Arial"/>
                <w:sz w:val="19"/>
                <w:szCs w:val="19"/>
              </w:rPr>
              <w:t xml:space="preserve">  (truck Surabaya → Tanjung Perak port, ferry to Bima, truck to Ende)</w:t>
            </w:r>
          </w:p>
        </w:tc>
      </w:tr>
      <w:tr>
        <w:tc>
          <w:tcPr>
            <w:tcBorders>
              <w:top w:val="single" w:color="D97706" w:sz="1"/>
              <w:left w:val="single" w:color="D97706" w:sz="1"/>
              <w:bottom w:val="single" w:color="D97706" w:sz="1"/>
              <w:right w:val="single" w:color="D97706" w:sz="1"/>
            </w:tcBorders>
            <w:shd w:fill="FEF3C7" w:val="clear"/>
            <w:tcMar>
              <w:top w:type="dxa" w:w="60"/>
              <w:left w:type="dxa" w:w="200"/>
              <w:bottom w:type="dxa" w:w="60"/>
              <w:right w:type="dxa" w:w="160"/>
            </w:tcMar>
          </w:tcPr>
          <w:p>
            <w:pPr>
              <w:spacing w:before="0" w:after="40"/>
              <w:jc w:val="left"/>
            </w:pPr>
            <w:r>
              <w:rPr>
                <w:rFonts w:ascii="Arial" w:cs="Arial" w:eastAsia="Arial" w:hAnsi="Arial"/>
                <w:b/>
                <w:bCs/>
                <w:sz w:val="19"/>
                <w:szCs w:val="19"/>
              </w:rPr>
              <w:t xml:space="preserve">nle_shipment_ref: "NLE-SBY-2026-009234"</w:t>
            </w:r>
            <w:r>
              <w:rPr>
                <w:rFonts w:ascii="Arial" w:cs="Arial" w:eastAsia="Arial" w:hAnsi="Arial"/>
                <w:sz w:val="19"/>
                <w:szCs w:val="19"/>
              </w:rPr>
              <w:t xml:space="preserve">  (tracked in National Logistics Ecosystem)</w:t>
            </w:r>
          </w:p>
        </w:tc>
      </w:tr>
      <w:tr>
        <w:tc>
          <w:tcPr>
            <w:tcBorders>
              <w:top w:val="single" w:color="D97706" w:sz="1"/>
              <w:left w:val="single" w:color="D97706" w:sz="1"/>
              <w:bottom w:val="single" w:color="D97706" w:sz="1"/>
              <w:right w:val="single" w:color="D97706" w:sz="1"/>
            </w:tcBorders>
            <w:shd w:fill="FEF3C7" w:val="clear"/>
            <w:tcMar>
              <w:top w:type="dxa" w:w="60"/>
              <w:left w:type="dxa" w:w="200"/>
              <w:bottom w:type="dxa" w:w="60"/>
              <w:right w:type="dxa" w:w="160"/>
            </w:tcMar>
          </w:tcPr>
          <w:p>
            <w:pPr>
              <w:spacing w:before="0" w:after="40"/>
              <w:jc w:val="left"/>
            </w:pPr>
            <w:r>
              <w:rPr>
                <w:rFonts w:ascii="Arial" w:cs="Arial" w:eastAsia="Arial" w:hAnsi="Arial"/>
                <w:b/>
                <w:bCs/>
                <w:sz w:val="19"/>
                <w:szCs w:val="19"/>
              </w:rPr>
              <w:t xml:space="preserve">delivery_window: { min: "4 days", max: "7 days" }</w:t>
            </w:r>
            <w:r>
              <w:rPr>
                <w:rFonts w:ascii="Arial" w:cs="Arial" w:eastAsia="Arial" w:hAnsi="Arial"/>
                <w:sz w:val="19"/>
                <w:szCs w:val="19"/>
              </w:rPr>
              <w:t xml:space="preserve">  (range, not a single timestamp)</w:t>
            </w:r>
          </w:p>
        </w:tc>
      </w:tr>
      <w:tr>
        <w:tc>
          <w:tcPr>
            <w:tcBorders>
              <w:top w:val="single" w:color="D97706" w:sz="1"/>
              <w:left w:val="single" w:color="D97706" w:sz="1"/>
              <w:bottom w:val="single" w:color="D97706" w:sz="1"/>
              <w:right w:val="single" w:color="D97706" w:sz="1"/>
            </w:tcBorders>
            <w:shd w:fill="FEF3C7" w:val="clear"/>
            <w:tcMar>
              <w:top w:type="dxa" w:w="60"/>
              <w:left w:type="dxa" w:w="200"/>
              <w:bottom w:type="dxa" w:w="60"/>
              <w:right w:type="dxa" w:w="160"/>
            </w:tcMar>
          </w:tcPr>
          <w:p>
            <w:pPr>
              <w:spacing w:before="0" w:after="40"/>
              <w:jc w:val="left"/>
            </w:pPr>
            <w:r>
              <w:rPr>
                <w:rFonts w:ascii="Arial" w:cs="Arial" w:eastAsia="Arial" w:hAnsi="Arial"/>
                <w:sz w:val="19"/>
                <w:szCs w:val="19"/>
              </w:rPr>
              <w:t xml:space="preserve">The Buyer App can display an honest delivery estimate, the NLE can track the shipment across legs, and each carrier in the chain handles only their leg.</w:t>
            </w:r>
          </w:p>
        </w:tc>
      </w:tr>
    </w:tbl>
    <w:p>
      <w:pPr>
        <w:spacing w:before="8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9488" w:sz="1"/>
              <w:left w:val="single" w:color="0D9488" w:sz="1"/>
              <w:bottom w:val="single" w:color="0D9488" w:sz="1"/>
              <w:right w:val="single" w:color="0D9488" w:sz="1"/>
            </w:tcBorders>
            <w:shd w:fill="ECFDF5" w:val="clear"/>
            <w:tcMar>
              <w:top w:type="dxa" w:w="80"/>
              <w:left w:type="dxa" w:w="160"/>
              <w:bottom w:type="dxa" w:w="80"/>
              <w:right w:type="dxa" w:w="160"/>
            </w:tcMar>
          </w:tcPr>
          <w:p>
            <w:pPr>
              <w:spacing w:before="0" w:after="100"/>
              <w:jc w:val="left"/>
            </w:pPr>
            <w:r>
              <w:rPr>
                <w:rFonts w:ascii="Arial" w:cs="Arial" w:eastAsia="Arial" w:hAnsi="Arial"/>
                <w:b/>
                <w:bCs/>
                <w:color w:val="0D9488"/>
                <w:sz w:val="18"/>
                <w:szCs w:val="18"/>
              </w:rPr>
              <w:t xml:space="preserve">Primary Owner:  </w:t>
            </w:r>
            <w:r>
              <w:rPr>
                <w:rFonts w:ascii="Arial" w:cs="Arial" w:eastAsia="Arial" w:hAnsi="Arial"/>
                <w:color w:val="1A2B4C"/>
                <w:sz w:val="18"/>
                <w:szCs w:val="18"/>
              </w:rPr>
              <w:t xml:space="preserve">Type 2 TSP — Logistics anchor (Pidge)</w:t>
            </w:r>
          </w:p>
        </w:tc>
      </w:tr>
    </w:tbl>
    <w:p>
      <w:pPr>
        <w:spacing w:before="60" w:after="0"/>
      </w:pPr>
    </w:p>
    <w:p>
      <w:pPr>
        <w:pBdr>
          <w:bottom w:val="single" w:color="CBD5E1" w:sz="6" w:space="1"/>
        </w:pBdr>
        <w:spacing w:before="200" w:after="40"/>
      </w:pPr>
    </w:p>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Borders>
              <w:top w:val="none" w:color="FFFFFF" w:sz="0"/>
              <w:left w:val="none" w:color="FFFFFF" w:sz="0"/>
              <w:bottom w:val="none" w:color="FFFFFF" w:sz="0"/>
              <w:right w:val="none" w:color="FFFFFF" w:sz="0"/>
            </w:tcBorders>
            <w:shd w:fill="0D9488" w:val="clear"/>
            <w:tcMar>
              <w:top w:type="dxa" w:w="120"/>
              <w:left w:type="dxa" w:w="160"/>
              <w:bottom w:type="dxa" w:w="120"/>
              <w:right w:type="dxa" w:w="160"/>
            </w:tcMar>
            <w:vAlign w:val="center"/>
          </w:tcPr>
          <w:p>
            <w:pPr>
              <w:spacing w:before="0" w:after="100"/>
              <w:jc w:val="center"/>
            </w:pPr>
            <w:r>
              <w:rPr>
                <w:rFonts w:ascii="Arial" w:cs="Arial" w:eastAsia="Arial" w:hAnsi="Arial"/>
                <w:b/>
                <w:bCs/>
                <w:color w:val="FFFFFF"/>
                <w:sz w:val="28"/>
                <w:szCs w:val="28"/>
              </w:rPr>
              <w:t xml:space="preserve">6</w:t>
            </w:r>
          </w:p>
        </w:tc>
        <w:tc>
          <w:tcPr>
            <w:tcBorders>
              <w:top w:val="single" w:color="0D9488" w:sz="1"/>
              <w:left w:val="single" w:color="0D9488" w:sz="1"/>
              <w:bottom w:val="single" w:color="0D9488" w:sz="1"/>
              <w:right w:val="single" w:color="0D9488" w:sz="1"/>
            </w:tcBorders>
            <w:shd w:fill="1A2B4C" w:val="clear"/>
            <w:tcMar>
              <w:top w:type="dxa" w:w="120"/>
              <w:left w:type="dxa" w:w="200"/>
              <w:bottom w:type="dxa" w:w="120"/>
              <w:right w:type="dxa" w:w="160"/>
            </w:tcMar>
            <w:vAlign w:val="center"/>
          </w:tcPr>
          <w:p>
            <w:pPr>
              <w:spacing w:before="0" w:after="100"/>
              <w:jc w:val="left"/>
            </w:pPr>
            <w:r>
              <w:rPr>
                <w:rFonts w:ascii="Arial" w:cs="Arial" w:eastAsia="Arial" w:hAnsi="Arial"/>
                <w:b/>
                <w:bCs/>
                <w:color w:val="FFFFFF"/>
                <w:sz w:val="26"/>
                <w:szCs w:val="26"/>
              </w:rPr>
              <w:t xml:space="preserve">Localisation &amp; Language Schema</w:t>
            </w:r>
          </w:p>
        </w:tc>
      </w:tr>
    </w:tbl>
    <w:p>
      <w:pPr>
        <w:spacing w:before="80" w:after="0"/>
      </w:pPr>
    </w:p>
    <w:p>
      <w:pPr>
        <w:spacing w:before="0" w:after="120"/>
        <w:jc w:val="left"/>
      </w:pPr>
      <w:r>
        <w:rPr>
          <w:rFonts w:ascii="Arial" w:cs="Arial" w:eastAsia="Arial" w:hAnsi="Arial"/>
          <w:sz w:val="20"/>
          <w:szCs w:val="20"/>
        </w:rPr>
        <w:t xml:space="preserve">Multilingual and culturally specific additions to catalog and discovery schemas, enabling ION to serve Indonesia's linguistic diversity without losing culturally significant terms.</w:t>
      </w:r>
    </w:p>
    <w:p>
      <w:pPr>
        <w:pStyle w:val="ListParagraph"/>
        <w:numPr>
          <w:ilvl w:val="0"/>
          <w:numId w:val="2"/>
        </w:numPr>
        <w:spacing w:before="0" w:after="80"/>
      </w:pPr>
      <w:r>
        <w:rPr>
          <w:rFonts w:ascii="Arial" w:cs="Arial" w:eastAsia="Arial" w:hAnsi="Arial"/>
          <w:sz w:val="20"/>
          <w:szCs w:val="20"/>
        </w:rPr>
        <w:t xml:space="preserve">Define multi-language field pattern on Item, Provider, Catalog, Offer: name_id (Bahasa Indonesia), name_en (English), name_local (regional language with BCP-47 language code)</w:t>
      </w:r>
    </w:p>
    <w:p>
      <w:pPr>
        <w:pStyle w:val="ListParagraph"/>
        <w:numPr>
          <w:ilvl w:val="0"/>
          <w:numId w:val="2"/>
        </w:numPr>
        <w:spacing w:before="0" w:after="80"/>
      </w:pPr>
      <w:r>
        <w:rPr>
          <w:rFonts w:ascii="Arial" w:cs="Arial" w:eastAsia="Arial" w:hAnsi="Arial"/>
          <w:sz w:val="20"/>
          <w:szCs w:val="20"/>
        </w:rPr>
        <w:t xml:space="preserve">Define translation metadata fields: source_language, translated_by (human / machine), translation_confidence</w:t>
      </w:r>
    </w:p>
    <w:p>
      <w:pPr>
        <w:pStyle w:val="ListParagraph"/>
        <w:numPr>
          <w:ilvl w:val="0"/>
          <w:numId w:val="2"/>
        </w:numPr>
        <w:spacing w:before="0" w:after="80"/>
      </w:pPr>
      <w:r>
        <w:rPr>
          <w:rFonts w:ascii="Arial" w:cs="Arial" w:eastAsia="Arial" w:hAnsi="Arial"/>
          <w:sz w:val="20"/>
          <w:szCs w:val="20"/>
        </w:rPr>
        <w:t xml:space="preserve">Define Indonesia-specific controlled vocabulary as a JSON-LD context extension — terms that must not be translated: warung, pasar, ojek, kaki lima, angkot, pondok wisata, and others</w:t>
      </w:r>
    </w:p>
    <w:p>
      <w:pPr>
        <w:pStyle w:val="ListParagraph"/>
        <w:numPr>
          <w:ilvl w:val="0"/>
          <w:numId w:val="2"/>
        </w:numPr>
        <w:spacing w:before="0" w:after="80"/>
      </w:pPr>
      <w:r>
        <w:rPr>
          <w:rFonts w:ascii="Arial" w:cs="Arial" w:eastAsia="Arial" w:hAnsi="Arial"/>
          <w:sz w:val="20"/>
          <w:szCs w:val="20"/>
        </w:rPr>
        <w:t xml:space="preserve">Define regional language support flags on Provider: lang_jv (Javanese), lang_su (Sundanese), lang_btk (Batak), etc.</w:t>
      </w:r>
    </w:p>
    <w:p>
      <w:pPr>
        <w:pStyle w:val="ListParagraph"/>
        <w:numPr>
          <w:ilvl w:val="0"/>
          <w:numId w:val="2"/>
        </w:numPr>
        <w:spacing w:before="0" w:after="80"/>
      </w:pPr>
      <w:r>
        <w:rPr>
          <w:rFonts w:ascii="Arial" w:cs="Arial" w:eastAsia="Arial" w:hAnsi="Arial"/>
          <w:sz w:val="20"/>
          <w:szCs w:val="20"/>
        </w:rPr>
        <w:t xml:space="preserve">Write translation preservation rules: which terms are exempt from machine translation in CDS indexing</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7706" w:sz="1"/>
              <w:left w:val="single" w:color="D97706" w:sz="1"/>
              <w:bottom w:val="single" w:color="D97706" w:sz="1"/>
              <w:right w:val="single" w:color="D97706" w:sz="1"/>
            </w:tcBorders>
            <w:shd w:fill="D97706" w:val="clear"/>
            <w:tcMar>
              <w:top w:type="dxa" w:w="80"/>
              <w:left w:type="dxa" w:w="160"/>
              <w:bottom w:type="dxa" w:w="80"/>
              <w:right w:type="dxa" w:w="160"/>
            </w:tcMar>
          </w:tcPr>
          <w:p>
            <w:pPr>
              <w:spacing w:before="0" w:after="100"/>
              <w:jc w:val="left"/>
            </w:pPr>
            <w:r>
              <w:rPr>
                <w:rFonts w:ascii="Arial" w:cs="Arial" w:eastAsia="Arial" w:hAnsi="Arial"/>
                <w:b/>
                <w:bCs/>
                <w:color w:val="FFFFFF"/>
                <w:sz w:val="19"/>
                <w:szCs w:val="19"/>
              </w:rPr>
              <w:t xml:space="preserve">📌  Example: Why 'warung' must not be translated</w:t>
            </w:r>
          </w:p>
        </w:tc>
      </w:tr>
      <w:tr>
        <w:tc>
          <w:tcPr>
            <w:tcBorders>
              <w:top w:val="single" w:color="D97706" w:sz="1"/>
              <w:left w:val="single" w:color="D97706" w:sz="1"/>
              <w:bottom w:val="single" w:color="D97706" w:sz="1"/>
              <w:right w:val="single" w:color="D97706" w:sz="1"/>
            </w:tcBorders>
            <w:shd w:fill="FEF3C7" w:val="clear"/>
            <w:tcMar>
              <w:top w:type="dxa" w:w="60"/>
              <w:left w:type="dxa" w:w="200"/>
              <w:bottom w:type="dxa" w:w="60"/>
              <w:right w:type="dxa" w:w="160"/>
            </w:tcMar>
          </w:tcPr>
          <w:p>
            <w:pPr>
              <w:spacing w:before="0" w:after="40"/>
              <w:jc w:val="left"/>
            </w:pPr>
            <w:r>
              <w:rPr>
                <w:rFonts w:ascii="Arial" w:cs="Arial" w:eastAsia="Arial" w:hAnsi="Arial"/>
                <w:sz w:val="19"/>
                <w:szCs w:val="19"/>
              </w:rPr>
              <w:t xml:space="preserve">A Buyer App with a foreign tourist user performs a search in English for "local food stall". The CDS must know that this maps to providers whose merchant_type is warung or pasar_stall — not just providers whose name contains the literal words "local food stall".</w:t>
            </w:r>
          </w:p>
        </w:tc>
      </w:tr>
      <w:tr>
        <w:tc>
          <w:tcPr>
            <w:tcBorders>
              <w:top w:val="single" w:color="D97706" w:sz="1"/>
              <w:left w:val="single" w:color="D97706" w:sz="1"/>
              <w:bottom w:val="single" w:color="D97706" w:sz="1"/>
              <w:right w:val="single" w:color="D97706" w:sz="1"/>
            </w:tcBorders>
            <w:shd w:fill="FEF3C7" w:val="clear"/>
            <w:tcMar>
              <w:top w:type="dxa" w:w="60"/>
              <w:left w:type="dxa" w:w="200"/>
              <w:bottom w:type="dxa" w:w="60"/>
              <w:right w:type="dxa" w:w="160"/>
            </w:tcMar>
          </w:tcPr>
          <w:p>
            <w:pPr>
              <w:spacing w:before="0" w:after="40"/>
              <w:jc w:val="left"/>
            </w:pPr>
            <w:r>
              <w:rPr>
                <w:rFonts w:ascii="Arial" w:cs="Arial" w:eastAsia="Arial" w:hAnsi="Arial"/>
                <w:sz w:val="19"/>
                <w:szCs w:val="19"/>
              </w:rPr>
              <w:t xml:space="preserve">Conversely, if a Seller App's catalog entry uses the word "warung" and a machine translation system renders it as "restaurant", the cultural and commercial meaning is lost — and the provider may no longer surface in searches that filter by merchant_type: warung.</w:t>
            </w:r>
          </w:p>
        </w:tc>
      </w:tr>
      <w:tr>
        <w:tc>
          <w:tcPr>
            <w:tcBorders>
              <w:top w:val="single" w:color="D97706" w:sz="1"/>
              <w:left w:val="single" w:color="D97706" w:sz="1"/>
              <w:bottom w:val="single" w:color="D97706" w:sz="1"/>
              <w:right w:val="single" w:color="D97706" w:sz="1"/>
            </w:tcBorders>
            <w:shd w:fill="FEF3C7" w:val="clear"/>
            <w:tcMar>
              <w:top w:type="dxa" w:w="60"/>
              <w:left w:type="dxa" w:w="200"/>
              <w:bottom w:type="dxa" w:w="60"/>
              <w:right w:type="dxa" w:w="160"/>
            </w:tcMar>
          </w:tcPr>
          <w:p>
            <w:pPr>
              <w:spacing w:before="0" w:after="40"/>
              <w:jc w:val="left"/>
            </w:pPr>
            <w:r>
              <w:rPr>
                <w:rFonts w:ascii="Arial" w:cs="Arial" w:eastAsia="Arial" w:hAnsi="Arial"/>
                <w:sz w:val="19"/>
                <w:szCs w:val="19"/>
              </w:rPr>
              <w:t xml:space="preserve">The controlled vocabulary spec defines warung, pasar, ojek, kaki lima, pondok wisata, and other terms as protected — they are preserved as-is in all translated fields and mapped to structured schema attributes.</w:t>
            </w:r>
          </w:p>
        </w:tc>
      </w:tr>
    </w:tbl>
    <w:p>
      <w:pPr>
        <w:spacing w:before="8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9488" w:sz="1"/>
              <w:left w:val="single" w:color="0D9488" w:sz="1"/>
              <w:bottom w:val="single" w:color="0D9488" w:sz="1"/>
              <w:right w:val="single" w:color="0D9488" w:sz="1"/>
            </w:tcBorders>
            <w:shd w:fill="ECFDF5" w:val="clear"/>
            <w:tcMar>
              <w:top w:type="dxa" w:w="80"/>
              <w:left w:type="dxa" w:w="160"/>
              <w:bottom w:type="dxa" w:w="80"/>
              <w:right w:type="dxa" w:w="160"/>
            </w:tcMar>
          </w:tcPr>
          <w:p>
            <w:pPr>
              <w:spacing w:before="0" w:after="100"/>
              <w:jc w:val="left"/>
            </w:pPr>
            <w:r>
              <w:rPr>
                <w:rFonts w:ascii="Arial" w:cs="Arial" w:eastAsia="Arial" w:hAnsi="Arial"/>
                <w:b/>
                <w:bCs/>
                <w:color w:val="0D9488"/>
                <w:sz w:val="18"/>
                <w:szCs w:val="18"/>
              </w:rPr>
              <w:t xml:space="preserve">Primary Owner:  </w:t>
            </w:r>
            <w:r>
              <w:rPr>
                <w:rFonts w:ascii="Arial" w:cs="Arial" w:eastAsia="Arial" w:hAnsi="Arial"/>
                <w:color w:val="1A2B4C"/>
                <w:sz w:val="18"/>
                <w:szCs w:val="18"/>
              </w:rPr>
              <w:t xml:space="preserve">ION Core + Type 1 ISV (translation infrastructure)</w:t>
            </w:r>
          </w:p>
        </w:tc>
      </w:tr>
    </w:tbl>
    <w:p>
      <w:pPr>
        <w:spacing w:before="60" w:after="0"/>
      </w:pPr>
    </w:p>
    <w:p>
      <w:pPr>
        <w:pBdr>
          <w:bottom w:val="single" w:color="CBD5E1" w:sz="6" w:space="1"/>
        </w:pBdr>
        <w:spacing w:before="200" w:after="40"/>
      </w:pPr>
    </w:p>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Borders>
              <w:top w:val="none" w:color="FFFFFF" w:sz="0"/>
              <w:left w:val="none" w:color="FFFFFF" w:sz="0"/>
              <w:bottom w:val="none" w:color="FFFFFF" w:sz="0"/>
              <w:right w:val="none" w:color="FFFFFF" w:sz="0"/>
            </w:tcBorders>
            <w:shd w:fill="0D9488" w:val="clear"/>
            <w:tcMar>
              <w:top w:type="dxa" w:w="120"/>
              <w:left w:type="dxa" w:w="160"/>
              <w:bottom w:type="dxa" w:w="120"/>
              <w:right w:type="dxa" w:w="160"/>
            </w:tcMar>
            <w:vAlign w:val="center"/>
          </w:tcPr>
          <w:p>
            <w:pPr>
              <w:spacing w:before="0" w:after="100"/>
              <w:jc w:val="center"/>
            </w:pPr>
            <w:r>
              <w:rPr>
                <w:rFonts w:ascii="Arial" w:cs="Arial" w:eastAsia="Arial" w:hAnsi="Arial"/>
                <w:b/>
                <w:bCs/>
                <w:color w:val="FFFFFF"/>
                <w:sz w:val="28"/>
                <w:szCs w:val="28"/>
              </w:rPr>
              <w:t xml:space="preserve">7</w:t>
            </w:r>
          </w:p>
        </w:tc>
        <w:tc>
          <w:tcPr>
            <w:tcBorders>
              <w:top w:val="single" w:color="0D9488" w:sz="1"/>
              <w:left w:val="single" w:color="0D9488" w:sz="1"/>
              <w:bottom w:val="single" w:color="0D9488" w:sz="1"/>
              <w:right w:val="single" w:color="0D9488" w:sz="1"/>
            </w:tcBorders>
            <w:shd w:fill="1A2B4C" w:val="clear"/>
            <w:tcMar>
              <w:top w:type="dxa" w:w="120"/>
              <w:left w:type="dxa" w:w="200"/>
              <w:bottom w:type="dxa" w:w="120"/>
              <w:right w:type="dxa" w:w="160"/>
            </w:tcMar>
            <w:vAlign w:val="center"/>
          </w:tcPr>
          <w:p>
            <w:pPr>
              <w:spacing w:before="0" w:after="100"/>
              <w:jc w:val="left"/>
            </w:pPr>
            <w:r>
              <w:rPr>
                <w:rFonts w:ascii="Arial" w:cs="Arial" w:eastAsia="Arial" w:hAnsi="Arial"/>
                <w:b/>
                <w:bCs/>
                <w:color w:val="FFFFFF"/>
                <w:sz w:val="26"/>
                <w:szCs w:val="26"/>
              </w:rPr>
              <w:t xml:space="preserve">Transaction Flows &amp; Use Case Specifications</w:t>
            </w:r>
          </w:p>
        </w:tc>
      </w:tr>
    </w:tbl>
    <w:p>
      <w:pPr>
        <w:spacing w:before="80" w:after="0"/>
      </w:pPr>
    </w:p>
    <w:p>
      <w:pPr>
        <w:spacing w:before="0" w:after="120"/>
        <w:jc w:val="left"/>
      </w:pPr>
      <w:r>
        <w:rPr>
          <w:rFonts w:ascii="Arial" w:cs="Arial" w:eastAsia="Arial" w:hAnsi="Arial"/>
          <w:sz w:val="20"/>
          <w:szCs w:val="20"/>
        </w:rPr>
        <w:t xml:space="preserve">End-to-end flow documents for ION-specific transaction patterns that go beyond the standard Beckn 2.0 sequence (search → select → init → confirm → status). These are the primary certification reference for all Buyer Apps and Seller Apps.</w:t>
      </w:r>
    </w:p>
    <w:p>
      <w:pPr>
        <w:pStyle w:val="ListParagraph"/>
        <w:numPr>
          <w:ilvl w:val="0"/>
          <w:numId w:val="2"/>
        </w:numPr>
        <w:spacing w:before="0" w:after="80"/>
      </w:pPr>
      <w:r>
        <w:rPr>
          <w:rFonts w:ascii="Arial" w:cs="Arial" w:eastAsia="Arial" w:hAnsi="Arial"/>
          <w:b/>
          <w:bCs/>
          <w:sz w:val="20"/>
          <w:szCs w:val="20"/>
        </w:rPr>
        <w:t xml:space="preserve">Cross-sector transaction flow</w:t>
      </w:r>
      <w:r>
        <w:rPr>
          <w:rFonts w:ascii="Arial" w:cs="Arial" w:eastAsia="Arial" w:hAnsi="Arial"/>
          <w:sz w:val="20"/>
          <w:szCs w:val="20"/>
        </w:rPr>
        <w:t xml:space="preserve"> — Multi-Seller App coordination in one user journey (e.g. Trade order + Logistics delivery + Finance micro-insurance). Define orchestration, settlement split, and cancellation cascade behaviour.</w:t>
      </w:r>
    </w:p>
    <w:p>
      <w:pPr>
        <w:pStyle w:val="ListParagraph"/>
        <w:numPr>
          <w:ilvl w:val="0"/>
          <w:numId w:val="2"/>
        </w:numPr>
        <w:spacing w:before="0" w:after="80"/>
      </w:pPr>
      <w:r>
        <w:rPr>
          <w:rFonts w:ascii="Arial" w:cs="Arial" w:eastAsia="Arial" w:hAnsi="Arial"/>
          <w:b/>
          <w:bCs/>
          <w:sz w:val="20"/>
          <w:szCs w:val="20"/>
        </w:rPr>
        <w:t xml:space="preserve">Embedded Finance flow</w:t>
      </w:r>
      <w:r>
        <w:rPr>
          <w:rFonts w:ascii="Arial" w:cs="Arial" w:eastAsia="Arial" w:hAnsi="Arial"/>
          <w:sz w:val="20"/>
          <w:szCs w:val="20"/>
        </w:rPr>
        <w:t xml:space="preserve"> — Credit or insurance offer surfaced within a Trade / Logistics / Mobility transaction. Define offer attachment schema, consent capture, and settlement routing.</w:t>
      </w:r>
    </w:p>
    <w:p>
      <w:pPr>
        <w:pStyle w:val="ListParagraph"/>
        <w:numPr>
          <w:ilvl w:val="0"/>
          <w:numId w:val="2"/>
        </w:numPr>
        <w:spacing w:before="0" w:after="80"/>
      </w:pPr>
      <w:r>
        <w:rPr>
          <w:rFonts w:ascii="Arial" w:cs="Arial" w:eastAsia="Arial" w:hAnsi="Arial"/>
          <w:b/>
          <w:bCs/>
          <w:sz w:val="20"/>
          <w:szCs w:val="20"/>
        </w:rPr>
        <w:t xml:space="preserve">Offline-first publish flow</w:t>
      </w:r>
      <w:r>
        <w:rPr>
          <w:rFonts w:ascii="Arial" w:cs="Arial" w:eastAsia="Arial" w:hAnsi="Arial"/>
          <w:sz w:val="20"/>
          <w:szCs w:val="20"/>
        </w:rPr>
        <w:t xml:space="preserve"> — Queue-based catalog publish for Seller Apps in remote connectivity zones. Define batch update schema, retry logic, and CDS freshness handling.</w:t>
      </w:r>
    </w:p>
    <w:p>
      <w:pPr>
        <w:pStyle w:val="ListParagraph"/>
        <w:numPr>
          <w:ilvl w:val="0"/>
          <w:numId w:val="2"/>
        </w:numPr>
        <w:spacing w:before="0" w:after="80"/>
      </w:pPr>
      <w:r>
        <w:rPr>
          <w:rFonts w:ascii="Arial" w:cs="Arial" w:eastAsia="Arial" w:hAnsi="Arial"/>
          <w:b/>
          <w:bCs/>
          <w:sz w:val="20"/>
          <w:szCs w:val="20"/>
        </w:rPr>
        <w:t xml:space="preserve">Voice / photo-to-catalog onboarding flow</w:t>
      </w:r>
      <w:r>
        <w:rPr>
          <w:rFonts w:ascii="Arial" w:cs="Arial" w:eastAsia="Arial" w:hAnsi="Arial"/>
          <w:sz w:val="20"/>
          <w:szCs w:val="20"/>
        </w:rPr>
        <w:t xml:space="preserve"> — From merchant input (photo/voice) through AI processing to CDS-ready catalog publication. Key reference for Type 3 NPs onboarding warung merchants.</w:t>
      </w:r>
    </w:p>
    <w:p>
      <w:pPr>
        <w:pStyle w:val="ListParagraph"/>
        <w:numPr>
          <w:ilvl w:val="0"/>
          <w:numId w:val="2"/>
        </w:numPr>
        <w:spacing w:before="0" w:after="80"/>
      </w:pPr>
      <w:r>
        <w:rPr>
          <w:rFonts w:ascii="Arial" w:cs="Arial" w:eastAsia="Arial" w:hAnsi="Arial"/>
          <w:b/>
          <w:bCs/>
          <w:sz w:val="20"/>
          <w:szCs w:val="20"/>
        </w:rPr>
        <w:t xml:space="preserve">Inter-island multi-leg logistics tracking flow</w:t>
      </w:r>
      <w:r>
        <w:rPr>
          <w:rFonts w:ascii="Arial" w:cs="Arial" w:eastAsia="Arial" w:hAnsi="Arial"/>
          <w:sz w:val="20"/>
          <w:szCs w:val="20"/>
        </w:rPr>
        <w:t xml:space="preserve"> — Status events, handoff schema, and tracking updates across multiple carriers and transport modes.</w:t>
      </w:r>
    </w:p>
    <w:p>
      <w:pPr>
        <w:pStyle w:val="ListParagraph"/>
        <w:numPr>
          <w:ilvl w:val="0"/>
          <w:numId w:val="2"/>
        </w:numPr>
        <w:spacing w:before="0" w:after="80"/>
      </w:pPr>
      <w:r>
        <w:rPr>
          <w:rFonts w:ascii="Arial" w:cs="Arial" w:eastAsia="Arial" w:hAnsi="Arial"/>
          <w:b/>
          <w:bCs/>
          <w:sz w:val="20"/>
          <w:szCs w:val="20"/>
        </w:rPr>
        <w:t xml:space="preserve">Gig worker instant payout flow</w:t>
      </w:r>
      <w:r>
        <w:rPr>
          <w:rFonts w:ascii="Arial" w:cs="Arial" w:eastAsia="Arial" w:hAnsi="Arial"/>
          <w:sz w:val="20"/>
          <w:szCs w:val="20"/>
        </w:rPr>
        <w:t xml:space="preserve"> — Payment split trigger on fulfilment confirmation, BI-FAST disbursement, and payout confirmation for ojek / driver participants.</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7706" w:sz="1"/>
              <w:left w:val="single" w:color="D97706" w:sz="1"/>
              <w:bottom w:val="single" w:color="D97706" w:sz="1"/>
              <w:right w:val="single" w:color="D97706" w:sz="1"/>
            </w:tcBorders>
            <w:shd w:fill="D97706" w:val="clear"/>
            <w:tcMar>
              <w:top w:type="dxa" w:w="80"/>
              <w:left w:type="dxa" w:w="160"/>
              <w:bottom w:type="dxa" w:w="80"/>
              <w:right w:type="dxa" w:w="160"/>
            </w:tcMar>
          </w:tcPr>
          <w:p>
            <w:pPr>
              <w:spacing w:before="0" w:after="100"/>
              <w:jc w:val="left"/>
            </w:pPr>
            <w:r>
              <w:rPr>
                <w:rFonts w:ascii="Arial" w:cs="Arial" w:eastAsia="Arial" w:hAnsi="Arial"/>
                <w:b/>
                <w:bCs/>
                <w:color w:val="FFFFFF"/>
                <w:sz w:val="19"/>
                <w:szCs w:val="19"/>
              </w:rPr>
              <w:t xml:space="preserve">📌  Example: Cross-sector transaction — food order with delivery and insurance</w:t>
            </w:r>
          </w:p>
        </w:tc>
      </w:tr>
      <w:tr>
        <w:tc>
          <w:tcPr>
            <w:tcBorders>
              <w:top w:val="single" w:color="D97706" w:sz="1"/>
              <w:left w:val="single" w:color="D97706" w:sz="1"/>
              <w:bottom w:val="single" w:color="D97706" w:sz="1"/>
              <w:right w:val="single" w:color="D97706" w:sz="1"/>
            </w:tcBorders>
            <w:shd w:fill="FEF3C7" w:val="clear"/>
            <w:tcMar>
              <w:top w:type="dxa" w:w="60"/>
              <w:left w:type="dxa" w:w="200"/>
              <w:bottom w:type="dxa" w:w="60"/>
              <w:right w:type="dxa" w:w="160"/>
            </w:tcMar>
          </w:tcPr>
          <w:p>
            <w:pPr>
              <w:spacing w:before="0" w:after="40"/>
              <w:jc w:val="left"/>
            </w:pPr>
            <w:r>
              <w:rPr>
                <w:rFonts w:ascii="Arial" w:cs="Arial" w:eastAsia="Arial" w:hAnsi="Arial"/>
                <w:sz w:val="19"/>
                <w:szCs w:val="19"/>
              </w:rPr>
              <w:t xml:space="preserve">A customer orders food from a warung (Trade), requests delivery (Logistics), and accepts a Rp 5,000 micro-insurance offer (Finance). This is one user journey spanning three sectors and three separate Seller Apps / TSPs.</w:t>
            </w:r>
          </w:p>
        </w:tc>
      </w:tr>
      <w:tr>
        <w:tc>
          <w:tcPr>
            <w:tcBorders>
              <w:top w:val="single" w:color="D97706" w:sz="1"/>
              <w:left w:val="single" w:color="D97706" w:sz="1"/>
              <w:bottom w:val="single" w:color="D97706" w:sz="1"/>
              <w:right w:val="single" w:color="D97706" w:sz="1"/>
            </w:tcBorders>
            <w:shd w:fill="FEF3C7" w:val="clear"/>
            <w:tcMar>
              <w:top w:type="dxa" w:w="60"/>
              <w:left w:type="dxa" w:w="200"/>
              <w:bottom w:type="dxa" w:w="60"/>
              <w:right w:type="dxa" w:w="160"/>
            </w:tcMar>
          </w:tcPr>
          <w:p>
            <w:pPr>
              <w:spacing w:before="0" w:after="40"/>
              <w:jc w:val="left"/>
            </w:pPr>
            <w:r>
              <w:rPr>
                <w:rFonts w:ascii="Arial" w:cs="Arial" w:eastAsia="Arial" w:hAnsi="Arial"/>
                <w:sz w:val="19"/>
                <w:szCs w:val="19"/>
              </w:rPr>
              <w:t xml:space="preserve">The cross-sector flow spec defines:</w:t>
            </w:r>
          </w:p>
        </w:tc>
      </w:tr>
      <w:tr>
        <w:tc>
          <w:tcPr>
            <w:tcBorders>
              <w:top w:val="single" w:color="D97706" w:sz="1"/>
              <w:left w:val="single" w:color="D97706" w:sz="1"/>
              <w:bottom w:val="single" w:color="D97706" w:sz="1"/>
              <w:right w:val="single" w:color="D97706" w:sz="1"/>
            </w:tcBorders>
            <w:shd w:fill="FEF3C7" w:val="clear"/>
            <w:tcMar>
              <w:top w:type="dxa" w:w="60"/>
              <w:left w:type="dxa" w:w="200"/>
              <w:bottom w:type="dxa" w:w="60"/>
              <w:right w:type="dxa" w:w="160"/>
            </w:tcMar>
          </w:tcPr>
          <w:p>
            <w:pPr>
              <w:spacing w:before="0" w:after="40"/>
              <w:jc w:val="left"/>
            </w:pPr>
            <w:r>
              <w:rPr>
                <w:rFonts w:ascii="Arial" w:cs="Arial" w:eastAsia="Arial" w:hAnsi="Arial"/>
                <w:b/>
                <w:bCs/>
                <w:sz w:val="19"/>
                <w:szCs w:val="19"/>
              </w:rPr>
              <w:t xml:space="preserve">1. BAP orchestrates:</w:t>
            </w:r>
            <w:r>
              <w:rPr>
                <w:rFonts w:ascii="Arial" w:cs="Arial" w:eastAsia="Arial" w:hAnsi="Arial"/>
                <w:sz w:val="19"/>
                <w:szCs w:val="19"/>
              </w:rPr>
              <w:t xml:space="preserve">  One confirm message to the Trade BPP, which triggers a logistics request to the Logistics BPP and an insurance activation to the Finance BPP.</w:t>
            </w:r>
          </w:p>
        </w:tc>
      </w:tr>
      <w:tr>
        <w:tc>
          <w:tcPr>
            <w:tcBorders>
              <w:top w:val="single" w:color="D97706" w:sz="1"/>
              <w:left w:val="single" w:color="D97706" w:sz="1"/>
              <w:bottom w:val="single" w:color="D97706" w:sz="1"/>
              <w:right w:val="single" w:color="D97706" w:sz="1"/>
            </w:tcBorders>
            <w:shd w:fill="FEF3C7" w:val="clear"/>
            <w:tcMar>
              <w:top w:type="dxa" w:w="60"/>
              <w:left w:type="dxa" w:w="200"/>
              <w:bottom w:type="dxa" w:w="60"/>
              <w:right w:type="dxa" w:w="160"/>
            </w:tcMar>
          </w:tcPr>
          <w:p>
            <w:pPr>
              <w:spacing w:before="0" w:after="40"/>
              <w:jc w:val="left"/>
            </w:pPr>
            <w:r>
              <w:rPr>
                <w:rFonts w:ascii="Arial" w:cs="Arial" w:eastAsia="Arial" w:hAnsi="Arial"/>
                <w:b/>
                <w:bCs/>
                <w:sz w:val="19"/>
                <w:szCs w:val="19"/>
              </w:rPr>
              <w:t xml:space="preserve">2. Cancellation cascade:</w:t>
            </w:r>
            <w:r>
              <w:rPr>
                <w:rFonts w:ascii="Arial" w:cs="Arial" w:eastAsia="Arial" w:hAnsi="Arial"/>
                <w:sz w:val="19"/>
                <w:szCs w:val="19"/>
              </w:rPr>
              <w:t xml:space="preserve">  If the Trade BPP cancels (item unavailable), the Logistics and Finance BPPs must also receive cancellation signals — and refunds must be coordinated.</w:t>
            </w:r>
          </w:p>
        </w:tc>
      </w:tr>
      <w:tr>
        <w:tc>
          <w:tcPr>
            <w:tcBorders>
              <w:top w:val="single" w:color="D97706" w:sz="1"/>
              <w:left w:val="single" w:color="D97706" w:sz="1"/>
              <w:bottom w:val="single" w:color="D97706" w:sz="1"/>
              <w:right w:val="single" w:color="D97706" w:sz="1"/>
            </w:tcBorders>
            <w:shd w:fill="FEF3C7" w:val="clear"/>
            <w:tcMar>
              <w:top w:type="dxa" w:w="60"/>
              <w:left w:type="dxa" w:w="200"/>
              <w:bottom w:type="dxa" w:w="60"/>
              <w:right w:type="dxa" w:w="160"/>
            </w:tcMar>
          </w:tcPr>
          <w:p>
            <w:pPr>
              <w:spacing w:before="0" w:after="40"/>
              <w:jc w:val="left"/>
            </w:pPr>
            <w:r>
              <w:rPr>
                <w:rFonts w:ascii="Arial" w:cs="Arial" w:eastAsia="Arial" w:hAnsi="Arial"/>
                <w:b/>
                <w:bCs/>
                <w:sz w:val="19"/>
                <w:szCs w:val="19"/>
              </w:rPr>
              <w:t xml:space="preserve">3. Settlement split:</w:t>
            </w:r>
            <w:r>
              <w:rPr>
                <w:rFonts w:ascii="Arial" w:cs="Arial" w:eastAsia="Arial" w:hAnsi="Arial"/>
                <w:sz w:val="19"/>
                <w:szCs w:val="19"/>
              </w:rPr>
              <w:t xml:space="preserve">  Defined per Cat 4 — all four parties paid via a single BI-FAST batch within 60 minutes of delivery confirmation.</w:t>
            </w:r>
          </w:p>
        </w:tc>
      </w:tr>
      <w:tr>
        <w:tc>
          <w:tcPr>
            <w:tcBorders>
              <w:top w:val="single" w:color="D97706" w:sz="1"/>
              <w:left w:val="single" w:color="D97706" w:sz="1"/>
              <w:bottom w:val="single" w:color="D97706" w:sz="1"/>
              <w:right w:val="single" w:color="D97706" w:sz="1"/>
            </w:tcBorders>
            <w:shd w:fill="FEF3C7" w:val="clear"/>
            <w:tcMar>
              <w:top w:type="dxa" w:w="60"/>
              <w:left w:type="dxa" w:w="200"/>
              <w:bottom w:type="dxa" w:w="60"/>
              <w:right w:type="dxa" w:w="160"/>
            </w:tcMar>
          </w:tcPr>
          <w:p>
            <w:pPr>
              <w:spacing w:before="0" w:after="40"/>
              <w:jc w:val="left"/>
            </w:pPr>
            <w:r>
              <w:rPr>
                <w:rFonts w:ascii="Arial" w:cs="Arial" w:eastAsia="Arial" w:hAnsi="Arial"/>
                <w:sz w:val="19"/>
                <w:szCs w:val="19"/>
              </w:rPr>
              <w:t xml:space="preserve">Without this flow spec, each Buyer App would implement cross-sector coordination differently — breaking interoperability.</w:t>
            </w:r>
          </w:p>
        </w:tc>
      </w:tr>
    </w:tbl>
    <w:p>
      <w:pPr>
        <w:spacing w:before="8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9488" w:sz="1"/>
              <w:left w:val="single" w:color="0D9488" w:sz="1"/>
              <w:bottom w:val="single" w:color="0D9488" w:sz="1"/>
              <w:right w:val="single" w:color="0D9488" w:sz="1"/>
            </w:tcBorders>
            <w:shd w:fill="ECFDF5" w:val="clear"/>
            <w:tcMar>
              <w:top w:type="dxa" w:w="80"/>
              <w:left w:type="dxa" w:w="160"/>
              <w:bottom w:type="dxa" w:w="80"/>
              <w:right w:type="dxa" w:w="160"/>
            </w:tcMar>
          </w:tcPr>
          <w:p>
            <w:pPr>
              <w:spacing w:before="0" w:after="100"/>
              <w:jc w:val="left"/>
            </w:pPr>
            <w:r>
              <w:rPr>
                <w:rFonts w:ascii="Arial" w:cs="Arial" w:eastAsia="Arial" w:hAnsi="Arial"/>
                <w:b/>
                <w:bCs/>
                <w:color w:val="0D9488"/>
                <w:sz w:val="18"/>
                <w:szCs w:val="18"/>
              </w:rPr>
              <w:t xml:space="preserve">Primary Owner:  </w:t>
            </w:r>
            <w:r>
              <w:rPr>
                <w:rFonts w:ascii="Arial" w:cs="Arial" w:eastAsia="Arial" w:hAnsi="Arial"/>
                <w:color w:val="1A2B4C"/>
                <w:sz w:val="18"/>
                <w:szCs w:val="18"/>
              </w:rPr>
              <w:t xml:space="preserve">ION Core (flow authorship) + Type 2 sector-anchor TSPs (domain review and sign-off)</w:t>
            </w:r>
          </w:p>
        </w:tc>
      </w:tr>
    </w:tbl>
    <w:p>
      <w:pPr>
        <w:spacing w:before="60" w:after="0"/>
      </w:pPr>
    </w:p>
    <w:p>
      <w:pPr>
        <w:pBdr>
          <w:bottom w:val="single" w:color="CBD5E1" w:sz="6" w:space="1"/>
        </w:pBdr>
        <w:spacing w:before="200" w:after="40"/>
      </w:pPr>
    </w:p>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Borders>
              <w:top w:val="none" w:color="FFFFFF" w:sz="0"/>
              <w:left w:val="none" w:color="FFFFFF" w:sz="0"/>
              <w:bottom w:val="none" w:color="FFFFFF" w:sz="0"/>
              <w:right w:val="none" w:color="FFFFFF" w:sz="0"/>
            </w:tcBorders>
            <w:shd w:fill="0D9488" w:val="clear"/>
            <w:tcMar>
              <w:top w:type="dxa" w:w="120"/>
              <w:left w:type="dxa" w:w="160"/>
              <w:bottom w:type="dxa" w:w="120"/>
              <w:right w:type="dxa" w:w="160"/>
            </w:tcMar>
            <w:vAlign w:val="center"/>
          </w:tcPr>
          <w:p>
            <w:pPr>
              <w:spacing w:before="0" w:after="100"/>
              <w:jc w:val="center"/>
            </w:pPr>
            <w:r>
              <w:rPr>
                <w:rFonts w:ascii="Arial" w:cs="Arial" w:eastAsia="Arial" w:hAnsi="Arial"/>
                <w:b/>
                <w:bCs/>
                <w:color w:val="FFFFFF"/>
                <w:sz w:val="28"/>
                <w:szCs w:val="28"/>
              </w:rPr>
              <w:t xml:space="preserve">8</w:t>
            </w:r>
          </w:p>
        </w:tc>
        <w:tc>
          <w:tcPr>
            <w:tcBorders>
              <w:top w:val="single" w:color="0D9488" w:sz="1"/>
              <w:left w:val="single" w:color="0D9488" w:sz="1"/>
              <w:bottom w:val="single" w:color="0D9488" w:sz="1"/>
              <w:right w:val="single" w:color="0D9488" w:sz="1"/>
            </w:tcBorders>
            <w:shd w:fill="1A2B4C" w:val="clear"/>
            <w:tcMar>
              <w:top w:type="dxa" w:w="120"/>
              <w:left w:type="dxa" w:w="200"/>
              <w:bottom w:type="dxa" w:w="120"/>
              <w:right w:type="dxa" w:w="160"/>
            </w:tcMar>
            <w:vAlign w:val="center"/>
          </w:tcPr>
          <w:p>
            <w:pPr>
              <w:spacing w:before="0" w:after="100"/>
              <w:jc w:val="left"/>
            </w:pPr>
            <w:r>
              <w:rPr>
                <w:rFonts w:ascii="Arial" w:cs="Arial" w:eastAsia="Arial" w:hAnsi="Arial"/>
                <w:b/>
                <w:bCs/>
                <w:color w:val="FFFFFF"/>
                <w:sz w:val="26"/>
                <w:szCs w:val="26"/>
              </w:rPr>
              <w:t xml:space="preserve">ONIX Validation Rule Packs</w:t>
            </w:r>
          </w:p>
        </w:tc>
      </w:tr>
    </w:tbl>
    <w:p>
      <w:pPr>
        <w:spacing w:before="80" w:after="0"/>
      </w:pPr>
    </w:p>
    <w:p>
      <w:pPr>
        <w:spacing w:before="0" w:after="120"/>
        <w:jc w:val="left"/>
      </w:pPr>
      <w:r>
        <w:rPr>
          <w:rFonts w:ascii="Arial" w:cs="Arial" w:eastAsia="Arial" w:hAnsi="Arial"/>
          <w:sz w:val="20"/>
          <w:szCs w:val="20"/>
        </w:rPr>
        <w:t xml:space="preserve">Indonesia-specific validation rule sets deployed in ONIX at every participant boundary. These enforce ION network policy at the protocol layer so apps do not have to implement compliance logic themselves.</w:t>
      </w:r>
    </w:p>
    <w:p>
      <w:pPr>
        <w:pStyle w:val="ListParagraph"/>
        <w:numPr>
          <w:ilvl w:val="0"/>
          <w:numId w:val="2"/>
        </w:numPr>
        <w:spacing w:before="0" w:after="80"/>
      </w:pPr>
      <w:r>
        <w:rPr>
          <w:rFonts w:ascii="Arial" w:cs="Arial" w:eastAsia="Arial" w:hAnsi="Arial"/>
          <w:b/>
          <w:bCs/>
          <w:sz w:val="20"/>
          <w:szCs w:val="20"/>
        </w:rPr>
        <w:t xml:space="preserve">Halal rule:</w:t>
      </w:r>
      <w:r>
        <w:rPr>
          <w:rFonts w:ascii="Arial" w:cs="Arial" w:eastAsia="Arial" w:hAnsi="Arial"/>
          <w:sz w:val="20"/>
          <w:szCs w:val="20"/>
        </w:rPr>
        <w:t xml:space="preserve">  halal_certified field required (true/false) on all food Items in Trade; absence is a schema error</w:t>
      </w:r>
    </w:p>
    <w:p>
      <w:pPr>
        <w:pStyle w:val="ListParagraph"/>
        <w:numPr>
          <w:ilvl w:val="0"/>
          <w:numId w:val="2"/>
        </w:numPr>
        <w:spacing w:before="0" w:after="80"/>
      </w:pPr>
      <w:r>
        <w:rPr>
          <w:rFonts w:ascii="Arial" w:cs="Arial" w:eastAsia="Arial" w:hAnsi="Arial"/>
          <w:b/>
          <w:bCs/>
          <w:sz w:val="20"/>
          <w:szCs w:val="20"/>
        </w:rPr>
        <w:t xml:space="preserve">OJK licence rule:</w:t>
      </w:r>
      <w:r>
        <w:rPr>
          <w:rFonts w:ascii="Arial" w:cs="Arial" w:eastAsia="Arial" w:hAnsi="Arial"/>
          <w:sz w:val="20"/>
          <w:szCs w:val="20"/>
        </w:rPr>
        <w:t xml:space="preserve">  Finance sector Seller Apps must have a valid OJK licence in their registry record before confirm is permitted on any Finance transaction</w:t>
      </w:r>
    </w:p>
    <w:p>
      <w:pPr>
        <w:pStyle w:val="ListParagraph"/>
        <w:numPr>
          <w:ilvl w:val="0"/>
          <w:numId w:val="2"/>
        </w:numPr>
        <w:spacing w:before="0" w:after="80"/>
      </w:pPr>
      <w:r>
        <w:rPr>
          <w:rFonts w:ascii="Arial" w:cs="Arial" w:eastAsia="Arial" w:hAnsi="Arial"/>
          <w:b/>
          <w:bCs/>
          <w:sz w:val="20"/>
          <w:szCs w:val="20"/>
        </w:rPr>
        <w:t xml:space="preserve">NIB gating rule:</w:t>
      </w:r>
      <w:r>
        <w:rPr>
          <w:rFonts w:ascii="Arial" w:cs="Arial" w:eastAsia="Arial" w:hAnsi="Arial"/>
          <w:sz w:val="20"/>
          <w:szCs w:val="20"/>
        </w:rPr>
        <w:t xml:space="preserve">  All Seller App records must have nib_verified = true before production activation</w:t>
      </w:r>
    </w:p>
    <w:p>
      <w:pPr>
        <w:pStyle w:val="ListParagraph"/>
        <w:numPr>
          <w:ilvl w:val="0"/>
          <w:numId w:val="2"/>
        </w:numPr>
        <w:spacing w:before="0" w:after="80"/>
      </w:pPr>
      <w:r>
        <w:rPr>
          <w:rFonts w:ascii="Arial" w:cs="Arial" w:eastAsia="Arial" w:hAnsi="Arial"/>
          <w:b/>
          <w:bCs/>
          <w:sz w:val="20"/>
          <w:szCs w:val="20"/>
        </w:rPr>
        <w:t xml:space="preserve">QRIS merchant ID rule:</w:t>
      </w:r>
      <w:r>
        <w:rPr>
          <w:rFonts w:ascii="Arial" w:cs="Arial" w:eastAsia="Arial" w:hAnsi="Arial"/>
          <w:sz w:val="20"/>
          <w:szCs w:val="20"/>
        </w:rPr>
        <w:t xml:space="preserve">  QRIS Merchant ID must be present on Seller App payment config before confirm on any QRIS payment</w:t>
      </w:r>
    </w:p>
    <w:p>
      <w:pPr>
        <w:pStyle w:val="ListParagraph"/>
        <w:numPr>
          <w:ilvl w:val="0"/>
          <w:numId w:val="2"/>
        </w:numPr>
        <w:spacing w:before="0" w:after="80"/>
      </w:pPr>
      <w:r>
        <w:rPr>
          <w:rFonts w:ascii="Arial" w:cs="Arial" w:eastAsia="Arial" w:hAnsi="Arial"/>
          <w:b/>
          <w:bCs/>
          <w:sz w:val="20"/>
          <w:szCs w:val="20"/>
        </w:rPr>
        <w:t xml:space="preserve">KYC gating rule:</w:t>
      </w:r>
      <w:r>
        <w:rPr>
          <w:rFonts w:ascii="Arial" w:cs="Arial" w:eastAsia="Arial" w:hAnsi="Arial"/>
          <w:sz w:val="20"/>
          <w:szCs w:val="20"/>
        </w:rPr>
        <w:t xml:space="preserve">  Finance products requiring full KYC must reject confirm from buyers with basic KYC only</w:t>
      </w:r>
    </w:p>
    <w:p>
      <w:pPr>
        <w:pStyle w:val="ListParagraph"/>
        <w:numPr>
          <w:ilvl w:val="0"/>
          <w:numId w:val="2"/>
        </w:numPr>
        <w:spacing w:before="0" w:after="80"/>
      </w:pPr>
      <w:r>
        <w:rPr>
          <w:rFonts w:ascii="Arial" w:cs="Arial" w:eastAsia="Arial" w:hAnsi="Arial"/>
          <w:b/>
          <w:bCs/>
          <w:sz w:val="20"/>
          <w:szCs w:val="20"/>
        </w:rPr>
        <w:t xml:space="preserve">UU PDP enforcement rule:</w:t>
      </w:r>
      <w:r>
        <w:rPr>
          <w:rFonts w:ascii="Arial" w:cs="Arial" w:eastAsia="Arial" w:hAnsi="Arial"/>
          <w:sz w:val="20"/>
          <w:szCs w:val="20"/>
        </w:rPr>
        <w:t xml:space="preserve">  Block transmission of prohibited buyer data fields in Seller App-bound messages</w:t>
      </w:r>
    </w:p>
    <w:p>
      <w:pPr>
        <w:pStyle w:val="ListParagraph"/>
        <w:numPr>
          <w:ilvl w:val="0"/>
          <w:numId w:val="2"/>
        </w:numPr>
        <w:spacing w:before="0" w:after="80"/>
      </w:pPr>
      <w:r>
        <w:rPr>
          <w:rFonts w:ascii="Arial" w:cs="Arial" w:eastAsia="Arial" w:hAnsi="Arial"/>
          <w:sz w:val="20"/>
          <w:szCs w:val="20"/>
        </w:rPr>
        <w:t xml:space="preserve">Write ONIX rule pack format and deployment spec for ION — how rules are packaged, versioned, and distributed to participants</w:t>
      </w:r>
    </w:p>
    <w:p>
      <w:pPr>
        <w:pStyle w:val="ListParagraph"/>
        <w:numPr>
          <w:ilvl w:val="0"/>
          <w:numId w:val="2"/>
        </w:numPr>
        <w:spacing w:before="0" w:after="80"/>
      </w:pPr>
      <w:r>
        <w:rPr>
          <w:rFonts w:ascii="Arial" w:cs="Arial" w:eastAsia="Arial" w:hAnsi="Arial"/>
          <w:sz w:val="20"/>
          <w:szCs w:val="20"/>
        </w:rPr>
        <w:t xml:space="preserve">Write sector-specific rule pack list: one rule pack per sector with mandatory and recommended rules</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7706" w:sz="1"/>
              <w:left w:val="single" w:color="D97706" w:sz="1"/>
              <w:bottom w:val="single" w:color="D97706" w:sz="1"/>
              <w:right w:val="single" w:color="D97706" w:sz="1"/>
            </w:tcBorders>
            <w:shd w:fill="D97706" w:val="clear"/>
            <w:tcMar>
              <w:top w:type="dxa" w:w="80"/>
              <w:left w:type="dxa" w:w="160"/>
              <w:bottom w:type="dxa" w:w="80"/>
              <w:right w:type="dxa" w:w="160"/>
            </w:tcMar>
          </w:tcPr>
          <w:p>
            <w:pPr>
              <w:spacing w:before="0" w:after="100"/>
              <w:jc w:val="left"/>
            </w:pPr>
            <w:r>
              <w:rPr>
                <w:rFonts w:ascii="Arial" w:cs="Arial" w:eastAsia="Arial" w:hAnsi="Arial"/>
                <w:b/>
                <w:bCs/>
                <w:color w:val="FFFFFF"/>
                <w:sz w:val="19"/>
                <w:szCs w:val="19"/>
              </w:rPr>
              <w:t xml:space="preserve">📌  Example: How ONIX rules prevent compliance violations automatically</w:t>
            </w:r>
          </w:p>
        </w:tc>
      </w:tr>
      <w:tr>
        <w:tc>
          <w:tcPr>
            <w:tcBorders>
              <w:top w:val="single" w:color="D97706" w:sz="1"/>
              <w:left w:val="single" w:color="D97706" w:sz="1"/>
              <w:bottom w:val="single" w:color="D97706" w:sz="1"/>
              <w:right w:val="single" w:color="D97706" w:sz="1"/>
            </w:tcBorders>
            <w:shd w:fill="FEF3C7" w:val="clear"/>
            <w:tcMar>
              <w:top w:type="dxa" w:w="60"/>
              <w:left w:type="dxa" w:w="200"/>
              <w:bottom w:type="dxa" w:w="60"/>
              <w:right w:type="dxa" w:w="160"/>
            </w:tcMar>
          </w:tcPr>
          <w:p>
            <w:pPr>
              <w:spacing w:before="0" w:after="40"/>
              <w:jc w:val="left"/>
            </w:pPr>
            <w:r>
              <w:rPr>
                <w:rFonts w:ascii="Arial" w:cs="Arial" w:eastAsia="Arial" w:hAnsi="Arial"/>
                <w:sz w:val="19"/>
                <w:szCs w:val="19"/>
              </w:rPr>
              <w:t xml:space="preserve">A new Seller App in the Finance sector completes its sandbox integration and attempts to go live. Its registry record shows ojk_licensed: false — the OJK licence application is still pending.</w:t>
            </w:r>
          </w:p>
        </w:tc>
      </w:tr>
      <w:tr>
        <w:tc>
          <w:tcPr>
            <w:tcBorders>
              <w:top w:val="single" w:color="D97706" w:sz="1"/>
              <w:left w:val="single" w:color="D97706" w:sz="1"/>
              <w:bottom w:val="single" w:color="D97706" w:sz="1"/>
              <w:right w:val="single" w:color="D97706" w:sz="1"/>
            </w:tcBorders>
            <w:shd w:fill="FEF3C7" w:val="clear"/>
            <w:tcMar>
              <w:top w:type="dxa" w:w="60"/>
              <w:left w:type="dxa" w:w="200"/>
              <w:bottom w:type="dxa" w:w="60"/>
              <w:right w:type="dxa" w:w="160"/>
            </w:tcMar>
          </w:tcPr>
          <w:p>
            <w:pPr>
              <w:spacing w:before="0" w:after="40"/>
              <w:jc w:val="left"/>
            </w:pPr>
            <w:r>
              <w:rPr>
                <w:rFonts w:ascii="Arial" w:cs="Arial" w:eastAsia="Arial" w:hAnsi="Arial"/>
                <w:sz w:val="19"/>
                <w:szCs w:val="19"/>
              </w:rPr>
              <w:t xml:space="preserve">Without ONIX rules: The app could technically go live and receive confirm messages from Buyer Apps — creating an unlicensed financial product transaction, a regulatory violation.</w:t>
            </w:r>
          </w:p>
        </w:tc>
      </w:tr>
      <w:tr>
        <w:tc>
          <w:tcPr>
            <w:tcBorders>
              <w:top w:val="single" w:color="D97706" w:sz="1"/>
              <w:left w:val="single" w:color="D97706" w:sz="1"/>
              <w:bottom w:val="single" w:color="D97706" w:sz="1"/>
              <w:right w:val="single" w:color="D97706" w:sz="1"/>
            </w:tcBorders>
            <w:shd w:fill="FEF3C7" w:val="clear"/>
            <w:tcMar>
              <w:top w:type="dxa" w:w="60"/>
              <w:left w:type="dxa" w:w="200"/>
              <w:bottom w:type="dxa" w:w="60"/>
              <w:right w:type="dxa" w:w="160"/>
            </w:tcMar>
          </w:tcPr>
          <w:p>
            <w:pPr>
              <w:spacing w:before="0" w:after="40"/>
              <w:jc w:val="left"/>
            </w:pPr>
            <w:r>
              <w:rPr>
                <w:rFonts w:ascii="Arial" w:cs="Arial" w:eastAsia="Arial" w:hAnsi="Arial"/>
                <w:sz w:val="19"/>
                <w:szCs w:val="19"/>
              </w:rPr>
              <w:t xml:space="preserve">With ONIX rules: ONIX intercepts any confirm message destined for this Finance BPP and returns a policy_violation error: OJK_LICENCE_REQUIRED. The transaction never completes. The Buyer App receives a clear error code. No regulatory violation occurs.</w:t>
            </w:r>
          </w:p>
        </w:tc>
      </w:tr>
      <w:tr>
        <w:tc>
          <w:tcPr>
            <w:tcBorders>
              <w:top w:val="single" w:color="D97706" w:sz="1"/>
              <w:left w:val="single" w:color="D97706" w:sz="1"/>
              <w:bottom w:val="single" w:color="D97706" w:sz="1"/>
              <w:right w:val="single" w:color="D97706" w:sz="1"/>
            </w:tcBorders>
            <w:shd w:fill="FEF3C7" w:val="clear"/>
            <w:tcMar>
              <w:top w:type="dxa" w:w="60"/>
              <w:left w:type="dxa" w:w="200"/>
              <w:bottom w:type="dxa" w:w="60"/>
              <w:right w:type="dxa" w:w="160"/>
            </w:tcMar>
          </w:tcPr>
          <w:p>
            <w:pPr>
              <w:spacing w:before="0" w:after="40"/>
              <w:jc w:val="left"/>
            </w:pPr>
            <w:r>
              <w:rPr>
                <w:rFonts w:ascii="Arial" w:cs="Arial" w:eastAsia="Arial" w:hAnsi="Arial"/>
                <w:sz w:val="19"/>
                <w:szCs w:val="19"/>
              </w:rPr>
              <w:t xml:space="preserve">The app's developer can see exactly which rule blocked the transaction and what they need to do to resolve it — without ION's operations team needing to manually intervene.</w:t>
            </w:r>
          </w:p>
        </w:tc>
      </w:tr>
    </w:tbl>
    <w:p>
      <w:pPr>
        <w:spacing w:before="8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9488" w:sz="1"/>
              <w:left w:val="single" w:color="0D9488" w:sz="1"/>
              <w:bottom w:val="single" w:color="0D9488" w:sz="1"/>
              <w:right w:val="single" w:color="0D9488" w:sz="1"/>
            </w:tcBorders>
            <w:shd w:fill="ECFDF5" w:val="clear"/>
            <w:tcMar>
              <w:top w:type="dxa" w:w="80"/>
              <w:left w:type="dxa" w:w="160"/>
              <w:bottom w:type="dxa" w:w="80"/>
              <w:right w:type="dxa" w:w="160"/>
            </w:tcMar>
          </w:tcPr>
          <w:p>
            <w:pPr>
              <w:spacing w:before="0" w:after="100"/>
              <w:jc w:val="left"/>
            </w:pPr>
            <w:r>
              <w:rPr>
                <w:rFonts w:ascii="Arial" w:cs="Arial" w:eastAsia="Arial" w:hAnsi="Arial"/>
                <w:b/>
                <w:bCs/>
                <w:color w:val="0D9488"/>
                <w:sz w:val="18"/>
                <w:szCs w:val="18"/>
              </w:rPr>
              <w:t xml:space="preserve">Primary Owner:  </w:t>
            </w:r>
            <w:r>
              <w:rPr>
                <w:rFonts w:ascii="Arial" w:cs="Arial" w:eastAsia="Arial" w:hAnsi="Arial"/>
                <w:color w:val="1A2B4C"/>
                <w:sz w:val="18"/>
                <w:szCs w:val="18"/>
              </w:rPr>
              <w:t xml:space="preserve">Type 1 ISV (Remegis / Ayantram) for infrastructure + ION Core for rule authorship</w:t>
            </w:r>
          </w:p>
        </w:tc>
      </w:tr>
    </w:tbl>
    <w:p>
      <w:pPr>
        <w:spacing w:before="60" w:after="0"/>
      </w:pPr>
    </w:p>
    <w:p>
      <w:pPr>
        <w:pBdr>
          <w:bottom w:val="single" w:color="CBD5E1" w:sz="6" w:space="1"/>
        </w:pBdr>
        <w:spacing w:before="200" w:after="40"/>
      </w:pPr>
    </w:p>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Borders>
              <w:top w:val="none" w:color="FFFFFF" w:sz="0"/>
              <w:left w:val="none" w:color="FFFFFF" w:sz="0"/>
              <w:bottom w:val="none" w:color="FFFFFF" w:sz="0"/>
              <w:right w:val="none" w:color="FFFFFF" w:sz="0"/>
            </w:tcBorders>
            <w:shd w:fill="0D9488" w:val="clear"/>
            <w:tcMar>
              <w:top w:type="dxa" w:w="120"/>
              <w:left w:type="dxa" w:w="160"/>
              <w:bottom w:type="dxa" w:w="120"/>
              <w:right w:type="dxa" w:w="160"/>
            </w:tcMar>
            <w:vAlign w:val="center"/>
          </w:tcPr>
          <w:p>
            <w:pPr>
              <w:spacing w:before="0" w:after="100"/>
              <w:jc w:val="center"/>
            </w:pPr>
            <w:r>
              <w:rPr>
                <w:rFonts w:ascii="Arial" w:cs="Arial" w:eastAsia="Arial" w:hAnsi="Arial"/>
                <w:b/>
                <w:bCs/>
                <w:color w:val="FFFFFF"/>
                <w:sz w:val="28"/>
                <w:szCs w:val="28"/>
              </w:rPr>
              <w:t xml:space="preserve">9</w:t>
            </w:r>
          </w:p>
        </w:tc>
        <w:tc>
          <w:tcPr>
            <w:tcBorders>
              <w:top w:val="single" w:color="0D9488" w:sz="1"/>
              <w:left w:val="single" w:color="0D9488" w:sz="1"/>
              <w:bottom w:val="single" w:color="0D9488" w:sz="1"/>
              <w:right w:val="single" w:color="0D9488" w:sz="1"/>
            </w:tcBorders>
            <w:shd w:fill="1A2B4C" w:val="clear"/>
            <w:tcMar>
              <w:top w:type="dxa" w:w="120"/>
              <w:left w:type="dxa" w:w="200"/>
              <w:bottom w:type="dxa" w:w="120"/>
              <w:right w:type="dxa" w:w="160"/>
            </w:tcMar>
            <w:vAlign w:val="center"/>
          </w:tcPr>
          <w:p>
            <w:pPr>
              <w:spacing w:before="0" w:after="100"/>
              <w:jc w:val="left"/>
            </w:pPr>
            <w:r>
              <w:rPr>
                <w:rFonts w:ascii="Arial" w:cs="Arial" w:eastAsia="Arial" w:hAnsi="Arial"/>
                <w:b/>
                <w:bCs/>
                <w:color w:val="FFFFFF"/>
                <w:sz w:val="26"/>
                <w:szCs w:val="26"/>
              </w:rPr>
              <w:t xml:space="preserve">CDS Configuration Specification</w:t>
            </w:r>
          </w:p>
        </w:tc>
      </w:tr>
    </w:tbl>
    <w:p>
      <w:pPr>
        <w:spacing w:before="80" w:after="0"/>
      </w:pPr>
    </w:p>
    <w:p>
      <w:pPr>
        <w:spacing w:before="0" w:after="120"/>
        <w:jc w:val="left"/>
      </w:pPr>
      <w:r>
        <w:rPr>
          <w:rFonts w:ascii="Arial" w:cs="Arial" w:eastAsia="Arial" w:hAnsi="Arial"/>
          <w:sz w:val="20"/>
          <w:szCs w:val="20"/>
        </w:rPr>
        <w:t xml:space="preserve">How the Catalog Discovery Service should be configured for ION's specific discovery needs — archipelago geography, multilingual search, halal filtering, and sector-partitioned indexing.</w:t>
      </w:r>
    </w:p>
    <w:p>
      <w:pPr>
        <w:pStyle w:val="ListParagraph"/>
        <w:numPr>
          <w:ilvl w:val="0"/>
          <w:numId w:val="2"/>
        </w:numPr>
        <w:spacing w:before="0" w:after="80"/>
      </w:pPr>
      <w:r>
        <w:rPr>
          <w:rFonts w:ascii="Arial" w:cs="Arial" w:eastAsia="Arial" w:hAnsi="Arial"/>
          <w:sz w:val="20"/>
          <w:szCs w:val="20"/>
        </w:rPr>
        <w:t xml:space="preserve">Define geospatial ranking strategy: weighted for island proximity, not straight-line distance; define island-aware distance function</w:t>
      </w:r>
    </w:p>
    <w:p>
      <w:pPr>
        <w:pStyle w:val="ListParagraph"/>
        <w:numPr>
          <w:ilvl w:val="0"/>
          <w:numId w:val="2"/>
        </w:numPr>
        <w:spacing w:before="0" w:after="80"/>
      </w:pPr>
      <w:r>
        <w:rPr>
          <w:rFonts w:ascii="Arial" w:cs="Arial" w:eastAsia="Arial" w:hAnsi="Arial"/>
          <w:sz w:val="20"/>
          <w:szCs w:val="20"/>
        </w:rPr>
        <w:t xml:space="preserve">Define halal as a first-class discovery filter — mapped to the structured halal field in the schema pack, not a text search term</w:t>
      </w:r>
    </w:p>
    <w:p>
      <w:pPr>
        <w:pStyle w:val="ListParagraph"/>
        <w:numPr>
          <w:ilvl w:val="0"/>
          <w:numId w:val="2"/>
        </w:numPr>
        <w:spacing w:before="0" w:after="80"/>
      </w:pPr>
      <w:r>
        <w:rPr>
          <w:rFonts w:ascii="Arial" w:cs="Arial" w:eastAsia="Arial" w:hAnsi="Arial"/>
          <w:sz w:val="20"/>
          <w:szCs w:val="20"/>
        </w:rPr>
        <w:t xml:space="preserve">Define language-preference-based result ranking: match name_id, name_en, name_local to Buyer App language context</w:t>
      </w:r>
    </w:p>
    <w:p>
      <w:pPr>
        <w:pStyle w:val="ListParagraph"/>
        <w:numPr>
          <w:ilvl w:val="0"/>
          <w:numId w:val="2"/>
        </w:numPr>
        <w:spacing w:before="0" w:after="80"/>
      </w:pPr>
      <w:r>
        <w:rPr>
          <w:rFonts w:ascii="Arial" w:cs="Arial" w:eastAsia="Arial" w:hAnsi="Arial"/>
          <w:sz w:val="20"/>
          <w:szCs w:val="20"/>
        </w:rPr>
        <w:t xml:space="preserve">Define sector index strategy: separate index per sector or unified with sector filter — specify trade-offs and ION's chosen approach</w:t>
      </w:r>
    </w:p>
    <w:p>
      <w:pPr>
        <w:pStyle w:val="ListParagraph"/>
        <w:numPr>
          <w:ilvl w:val="0"/>
          <w:numId w:val="2"/>
        </w:numPr>
        <w:spacing w:before="0" w:after="80"/>
      </w:pPr>
      <w:r>
        <w:rPr>
          <w:rFonts w:ascii="Arial" w:cs="Arial" w:eastAsia="Arial" w:hAnsi="Arial"/>
          <w:sz w:val="20"/>
          <w:szCs w:val="20"/>
        </w:rPr>
        <w:t xml:space="preserve">Define connectivity-aware catalog freshness: longer TTL for remote and offline_capable zone providers</w:t>
      </w:r>
    </w:p>
    <w:p>
      <w:pPr>
        <w:pStyle w:val="ListParagraph"/>
        <w:numPr>
          <w:ilvl w:val="0"/>
          <w:numId w:val="2"/>
        </w:numPr>
        <w:spacing w:before="0" w:after="80"/>
      </w:pPr>
      <w:r>
        <w:rPr>
          <w:rFonts w:ascii="Arial" w:cs="Arial" w:eastAsia="Arial" w:hAnsi="Arial"/>
          <w:sz w:val="20"/>
          <w:szCs w:val="20"/>
        </w:rPr>
        <w:t xml:space="preserve">Define catalog publication SLA: how quickly a Seller App's CDS push must be reflected in discovery results</w:t>
      </w:r>
    </w:p>
    <w:p>
      <w:pPr>
        <w:pStyle w:val="ListParagraph"/>
        <w:numPr>
          <w:ilvl w:val="0"/>
          <w:numId w:val="2"/>
        </w:numPr>
        <w:spacing w:before="0" w:after="80"/>
      </w:pPr>
      <w:r>
        <w:rPr>
          <w:rFonts w:ascii="Arial" w:cs="Arial" w:eastAsia="Arial" w:hAnsi="Arial"/>
          <w:sz w:val="20"/>
          <w:szCs w:val="20"/>
        </w:rPr>
        <w:t xml:space="preserve">Define NLP query handling for Indonesian terms: a search for 'warung' must surface pasar_stall and kaki_lima type providers appropriately</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7706" w:sz="1"/>
              <w:left w:val="single" w:color="D97706" w:sz="1"/>
              <w:bottom w:val="single" w:color="D97706" w:sz="1"/>
              <w:right w:val="single" w:color="D97706" w:sz="1"/>
            </w:tcBorders>
            <w:shd w:fill="D97706" w:val="clear"/>
            <w:tcMar>
              <w:top w:type="dxa" w:w="80"/>
              <w:left w:type="dxa" w:w="160"/>
              <w:bottom w:type="dxa" w:w="80"/>
              <w:right w:type="dxa" w:w="160"/>
            </w:tcMar>
          </w:tcPr>
          <w:p>
            <w:pPr>
              <w:spacing w:before="0" w:after="100"/>
              <w:jc w:val="left"/>
            </w:pPr>
            <w:r>
              <w:rPr>
                <w:rFonts w:ascii="Arial" w:cs="Arial" w:eastAsia="Arial" w:hAnsi="Arial"/>
                <w:b/>
                <w:bCs/>
                <w:color w:val="FFFFFF"/>
                <w:sz w:val="19"/>
                <w:szCs w:val="19"/>
              </w:rPr>
              <w:t xml:space="preserve">📌  Example: Why straight-line distance fails in an archipelago</w:t>
            </w:r>
          </w:p>
        </w:tc>
      </w:tr>
      <w:tr>
        <w:tc>
          <w:tcPr>
            <w:tcBorders>
              <w:top w:val="single" w:color="D97706" w:sz="1"/>
              <w:left w:val="single" w:color="D97706" w:sz="1"/>
              <w:bottom w:val="single" w:color="D97706" w:sz="1"/>
              <w:right w:val="single" w:color="D97706" w:sz="1"/>
            </w:tcBorders>
            <w:shd w:fill="FEF3C7" w:val="clear"/>
            <w:tcMar>
              <w:top w:type="dxa" w:w="60"/>
              <w:left w:type="dxa" w:w="200"/>
              <w:bottom w:type="dxa" w:w="60"/>
              <w:right w:type="dxa" w:w="160"/>
            </w:tcMar>
          </w:tcPr>
          <w:p>
            <w:pPr>
              <w:spacing w:before="0" w:after="40"/>
              <w:jc w:val="left"/>
            </w:pPr>
            <w:r>
              <w:rPr>
                <w:rFonts w:ascii="Arial" w:cs="Arial" w:eastAsia="Arial" w:hAnsi="Arial"/>
                <w:sz w:val="19"/>
                <w:szCs w:val="19"/>
              </w:rPr>
              <w:t xml:space="preserve">A customer in Makassar, Sulawesi searches for a logistics provider to ship a package. Standard geospatial ranking would rank a provider in Surabaya (straight-line: 800km) above a provider in Balikpapan (straight-line: 600km).</w:t>
            </w:r>
          </w:p>
        </w:tc>
      </w:tr>
      <w:tr>
        <w:tc>
          <w:tcPr>
            <w:tcBorders>
              <w:top w:val="single" w:color="D97706" w:sz="1"/>
              <w:left w:val="single" w:color="D97706" w:sz="1"/>
              <w:bottom w:val="single" w:color="D97706" w:sz="1"/>
              <w:right w:val="single" w:color="D97706" w:sz="1"/>
            </w:tcBorders>
            <w:shd w:fill="FEF3C7" w:val="clear"/>
            <w:tcMar>
              <w:top w:type="dxa" w:w="60"/>
              <w:left w:type="dxa" w:w="200"/>
              <w:bottom w:type="dxa" w:w="60"/>
              <w:right w:type="dxa" w:w="160"/>
            </w:tcMar>
          </w:tcPr>
          <w:p>
            <w:pPr>
              <w:spacing w:before="0" w:after="40"/>
              <w:jc w:val="left"/>
            </w:pPr>
            <w:r>
              <w:rPr>
                <w:rFonts w:ascii="Arial" w:cs="Arial" w:eastAsia="Arial" w:hAnsi="Arial"/>
                <w:sz w:val="19"/>
                <w:szCs w:val="19"/>
              </w:rPr>
              <w:t xml:space="preserve">But Surabaya requires a ferry crossing to reach Makassar — a multi-day journey. Balikpapan is on the same island (Borneo) and connected by road to a port with daily ferries to Makassar.</w:t>
            </w:r>
          </w:p>
        </w:tc>
      </w:tr>
      <w:tr>
        <w:tc>
          <w:tcPr>
            <w:tcBorders>
              <w:top w:val="single" w:color="D97706" w:sz="1"/>
              <w:left w:val="single" w:color="D97706" w:sz="1"/>
              <w:bottom w:val="single" w:color="D97706" w:sz="1"/>
              <w:right w:val="single" w:color="D97706" w:sz="1"/>
            </w:tcBorders>
            <w:shd w:fill="FEF3C7" w:val="clear"/>
            <w:tcMar>
              <w:top w:type="dxa" w:w="60"/>
              <w:left w:type="dxa" w:w="200"/>
              <w:bottom w:type="dxa" w:w="60"/>
              <w:right w:type="dxa" w:w="160"/>
            </w:tcMar>
          </w:tcPr>
          <w:p>
            <w:pPr>
              <w:spacing w:before="0" w:after="40"/>
              <w:jc w:val="left"/>
            </w:pPr>
            <w:r>
              <w:rPr>
                <w:rFonts w:ascii="Arial" w:cs="Arial" w:eastAsia="Arial" w:hAnsi="Arial"/>
                <w:sz w:val="19"/>
                <w:szCs w:val="19"/>
              </w:rPr>
              <w:t xml:space="preserve">ION's CDS configuration uses an island-aware distance function that weights inter-island connections by average transit time rather than geographic distance. The Balikpapan provider ranks higher — reflecting the actual logistics reality.</w:t>
            </w:r>
          </w:p>
        </w:tc>
      </w:tr>
      <w:tr>
        <w:tc>
          <w:tcPr>
            <w:tcBorders>
              <w:top w:val="single" w:color="D97706" w:sz="1"/>
              <w:left w:val="single" w:color="D97706" w:sz="1"/>
              <w:bottom w:val="single" w:color="D97706" w:sz="1"/>
              <w:right w:val="single" w:color="D97706" w:sz="1"/>
            </w:tcBorders>
            <w:shd w:fill="FEF3C7" w:val="clear"/>
            <w:tcMar>
              <w:top w:type="dxa" w:w="60"/>
              <w:left w:type="dxa" w:w="200"/>
              <w:bottom w:type="dxa" w:w="60"/>
              <w:right w:type="dxa" w:w="160"/>
            </w:tcMar>
          </w:tcPr>
          <w:p>
            <w:pPr>
              <w:spacing w:before="0" w:after="40"/>
              <w:jc w:val="left"/>
            </w:pPr>
            <w:r>
              <w:rPr>
                <w:rFonts w:ascii="Arial" w:cs="Arial" w:eastAsia="Arial" w:hAnsi="Arial"/>
                <w:sz w:val="19"/>
                <w:szCs w:val="19"/>
              </w:rPr>
              <w:t xml:space="preserve">This configuration is defined once in the CDS spec, not implemented separately by every Buyer App.</w:t>
            </w:r>
          </w:p>
        </w:tc>
      </w:tr>
    </w:tbl>
    <w:p>
      <w:pPr>
        <w:spacing w:before="8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9488" w:sz="1"/>
              <w:left w:val="single" w:color="0D9488" w:sz="1"/>
              <w:bottom w:val="single" w:color="0D9488" w:sz="1"/>
              <w:right w:val="single" w:color="0D9488" w:sz="1"/>
            </w:tcBorders>
            <w:shd w:fill="ECFDF5" w:val="clear"/>
            <w:tcMar>
              <w:top w:type="dxa" w:w="80"/>
              <w:left w:type="dxa" w:w="160"/>
              <w:bottom w:type="dxa" w:w="80"/>
              <w:right w:type="dxa" w:w="160"/>
            </w:tcMar>
          </w:tcPr>
          <w:p>
            <w:pPr>
              <w:spacing w:before="0" w:after="100"/>
              <w:jc w:val="left"/>
            </w:pPr>
            <w:r>
              <w:rPr>
                <w:rFonts w:ascii="Arial" w:cs="Arial" w:eastAsia="Arial" w:hAnsi="Arial"/>
                <w:b/>
                <w:bCs/>
                <w:color w:val="0D9488"/>
                <w:sz w:val="18"/>
                <w:szCs w:val="18"/>
              </w:rPr>
              <w:t xml:space="preserve">Primary Owner:  </w:t>
            </w:r>
            <w:r>
              <w:rPr>
                <w:rFonts w:ascii="Arial" w:cs="Arial" w:eastAsia="Arial" w:hAnsi="Arial"/>
                <w:color w:val="1A2B4C"/>
                <w:sz w:val="18"/>
                <w:szCs w:val="18"/>
              </w:rPr>
              <w:t xml:space="preserve">Type 1 ISV (CDS infrastructure) + ION Core (policy and configuration)</w:t>
            </w:r>
          </w:p>
        </w:tc>
      </w:tr>
    </w:tbl>
    <w:p>
      <w:pPr>
        <w:spacing w:before="60" w:after="0"/>
      </w:pPr>
    </w:p>
    <w:p>
      <w:pPr>
        <w:pBdr>
          <w:bottom w:val="single" w:color="CBD5E1" w:sz="6" w:space="1"/>
        </w:pBdr>
        <w:spacing w:before="200" w:after="40"/>
      </w:pPr>
    </w:p>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Borders>
              <w:top w:val="none" w:color="FFFFFF" w:sz="0"/>
              <w:left w:val="none" w:color="FFFFFF" w:sz="0"/>
              <w:bottom w:val="none" w:color="FFFFFF" w:sz="0"/>
              <w:right w:val="none" w:color="FFFFFF" w:sz="0"/>
            </w:tcBorders>
            <w:shd w:fill="0D9488" w:val="clear"/>
            <w:tcMar>
              <w:top w:type="dxa" w:w="120"/>
              <w:left w:type="dxa" w:w="160"/>
              <w:bottom w:type="dxa" w:w="120"/>
              <w:right w:type="dxa" w:w="160"/>
            </w:tcMar>
            <w:vAlign w:val="center"/>
          </w:tcPr>
          <w:p>
            <w:pPr>
              <w:spacing w:before="0" w:after="100"/>
              <w:jc w:val="center"/>
            </w:pPr>
            <w:r>
              <w:rPr>
                <w:rFonts w:ascii="Arial" w:cs="Arial" w:eastAsia="Arial" w:hAnsi="Arial"/>
                <w:b/>
                <w:bCs/>
                <w:color w:val="FFFFFF"/>
                <w:sz w:val="28"/>
                <w:szCs w:val="28"/>
              </w:rPr>
              <w:t xml:space="preserve">10</w:t>
            </w:r>
          </w:p>
        </w:tc>
        <w:tc>
          <w:tcPr>
            <w:tcBorders>
              <w:top w:val="single" w:color="0D9488" w:sz="1"/>
              <w:left w:val="single" w:color="0D9488" w:sz="1"/>
              <w:bottom w:val="single" w:color="0D9488" w:sz="1"/>
              <w:right w:val="single" w:color="0D9488" w:sz="1"/>
            </w:tcBorders>
            <w:shd w:fill="1A2B4C" w:val="clear"/>
            <w:tcMar>
              <w:top w:type="dxa" w:w="120"/>
              <w:left w:type="dxa" w:w="200"/>
              <w:bottom w:type="dxa" w:w="120"/>
              <w:right w:type="dxa" w:w="160"/>
            </w:tcMar>
            <w:vAlign w:val="center"/>
          </w:tcPr>
          <w:p>
            <w:pPr>
              <w:spacing w:before="0" w:after="100"/>
              <w:jc w:val="left"/>
            </w:pPr>
            <w:r>
              <w:rPr>
                <w:rFonts w:ascii="Arial" w:cs="Arial" w:eastAsia="Arial" w:hAnsi="Arial"/>
                <w:b/>
                <w:bCs/>
                <w:color w:val="FFFFFF"/>
                <w:sz w:val="26"/>
                <w:szCs w:val="26"/>
              </w:rPr>
              <w:t xml:space="preserve">Governance &amp; Network Policy</w:t>
            </w:r>
          </w:p>
        </w:tc>
      </w:tr>
    </w:tbl>
    <w:p>
      <w:pPr>
        <w:spacing w:before="80" w:after="0"/>
      </w:pPr>
    </w:p>
    <w:p>
      <w:pPr>
        <w:spacing w:before="0" w:after="120"/>
        <w:jc w:val="left"/>
      </w:pPr>
      <w:r>
        <w:rPr>
          <w:rFonts w:ascii="Arial" w:cs="Arial" w:eastAsia="Arial" w:hAnsi="Arial"/>
          <w:sz w:val="20"/>
          <w:szCs w:val="20"/>
        </w:rPr>
        <w:t xml:space="preserve">The non-technical rules that sit on top of the protocol — what ION permits, requires, and enforces — and how those rules are made and changed over time.</w:t>
      </w:r>
    </w:p>
    <w:p>
      <w:pPr>
        <w:pStyle w:val="ListParagraph"/>
        <w:numPr>
          <w:ilvl w:val="0"/>
          <w:numId w:val="2"/>
        </w:numPr>
        <w:spacing w:before="0" w:after="80"/>
      </w:pPr>
      <w:r>
        <w:rPr>
          <w:rFonts w:ascii="Arial" w:cs="Arial" w:eastAsia="Arial" w:hAnsi="Arial"/>
          <w:sz w:val="20"/>
          <w:szCs w:val="20"/>
        </w:rPr>
        <w:t xml:space="preserve">Define mandatory vs. optional schema per sector: what every Seller App in Trade must implement vs. what is recommended</w:t>
      </w:r>
    </w:p>
    <w:p>
      <w:pPr>
        <w:pStyle w:val="ListParagraph"/>
        <w:numPr>
          <w:ilvl w:val="0"/>
          <w:numId w:val="2"/>
        </w:numPr>
        <w:spacing w:before="0" w:after="80"/>
      </w:pPr>
      <w:r>
        <w:rPr>
          <w:rFonts w:ascii="Arial" w:cs="Arial" w:eastAsia="Arial" w:hAnsi="Arial"/>
          <w:sz w:val="20"/>
          <w:szCs w:val="20"/>
        </w:rPr>
        <w:t xml:space="preserve">Write participant certification requirements by role and sector: what a Buyer App, Seller App, and TSP must demonstrate before going live on production</w:t>
      </w:r>
    </w:p>
    <w:p>
      <w:pPr>
        <w:pStyle w:val="ListParagraph"/>
        <w:numPr>
          <w:ilvl w:val="0"/>
          <w:numId w:val="2"/>
        </w:numPr>
        <w:spacing w:before="0" w:after="80"/>
      </w:pPr>
      <w:r>
        <w:rPr>
          <w:rFonts w:ascii="Arial" w:cs="Arial" w:eastAsia="Arial" w:hAnsi="Arial"/>
          <w:sz w:val="20"/>
          <w:szCs w:val="20"/>
        </w:rPr>
        <w:t xml:space="preserve">Write sector-specific certification scenario sets: minimum end-to-end test cases per sector (at least 3 full order cycles in sandbox)</w:t>
      </w:r>
    </w:p>
    <w:p>
      <w:pPr>
        <w:pStyle w:val="ListParagraph"/>
        <w:numPr>
          <w:ilvl w:val="0"/>
          <w:numId w:val="2"/>
        </w:numPr>
        <w:spacing w:before="0" w:after="80"/>
      </w:pPr>
      <w:r>
        <w:rPr>
          <w:rFonts w:ascii="Arial" w:cs="Arial" w:eastAsia="Arial" w:hAnsi="Arial"/>
          <w:sz w:val="20"/>
          <w:szCs w:val="20"/>
        </w:rPr>
        <w:t xml:space="preserve">Define cross-sector certification requirement: at least one multi-sector transaction demonstrated before production access</w:t>
      </w:r>
    </w:p>
    <w:p>
      <w:pPr>
        <w:pStyle w:val="ListParagraph"/>
        <w:numPr>
          <w:ilvl w:val="0"/>
          <w:numId w:val="2"/>
        </w:numPr>
        <w:spacing w:before="0" w:after="80"/>
      </w:pPr>
      <w:r>
        <w:rPr>
          <w:rFonts w:ascii="Arial" w:cs="Arial" w:eastAsia="Arial" w:hAnsi="Arial"/>
          <w:sz w:val="20"/>
          <w:szCs w:val="20"/>
        </w:rPr>
        <w:t xml:space="preserve">Define dispute resolution escalation paths and SLAs: auto-resolution target, human escalation triggers, and resolution timelines per dispute type</w:t>
      </w:r>
    </w:p>
    <w:p>
      <w:pPr>
        <w:pStyle w:val="ListParagraph"/>
        <w:numPr>
          <w:ilvl w:val="0"/>
          <w:numId w:val="2"/>
        </w:numPr>
        <w:spacing w:before="0" w:after="80"/>
      </w:pPr>
      <w:r>
        <w:rPr>
          <w:rFonts w:ascii="Arial" w:cs="Arial" w:eastAsia="Arial" w:hAnsi="Arial"/>
          <w:sz w:val="20"/>
          <w:szCs w:val="20"/>
        </w:rPr>
        <w:t xml:space="preserve">Define version management policy: how schema packs are versioned, how deprecations are announced, and participant migration windows</w:t>
      </w:r>
    </w:p>
    <w:p>
      <w:pPr>
        <w:pStyle w:val="ListParagraph"/>
        <w:numPr>
          <w:ilvl w:val="0"/>
          <w:numId w:val="2"/>
        </w:numPr>
        <w:spacing w:before="0" w:after="80"/>
      </w:pPr>
      <w:r>
        <w:rPr>
          <w:rFonts w:ascii="Arial" w:cs="Arial" w:eastAsia="Arial" w:hAnsi="Arial"/>
          <w:sz w:val="20"/>
          <w:szCs w:val="20"/>
        </w:rPr>
        <w:t xml:space="preserve">Define network fee policy: no ION platform commission on transactions; document what participants pay for (TSP services, payment processing) vs. what is free</w:t>
      </w:r>
    </w:p>
    <w:p>
      <w:pPr>
        <w:pStyle w:val="ListParagraph"/>
        <w:numPr>
          <w:ilvl w:val="0"/>
          <w:numId w:val="2"/>
        </w:numPr>
        <w:spacing w:before="0" w:after="80"/>
      </w:pPr>
      <w:r>
        <w:rPr>
          <w:rFonts w:ascii="Arial" w:cs="Arial" w:eastAsia="Arial" w:hAnsi="Arial"/>
          <w:sz w:val="20"/>
          <w:szCs w:val="20"/>
        </w:rPr>
        <w:t xml:space="preserve">Define participatory governance process: how Buyer Apps, Seller Apps, and TSPs contribute to protocol and policy changes; sector working group structure</w:t>
      </w:r>
    </w:p>
    <w:p>
      <w:pPr>
        <w:pStyle w:val="ListParagraph"/>
        <w:numPr>
          <w:ilvl w:val="0"/>
          <w:numId w:val="2"/>
        </w:numPr>
        <w:spacing w:before="0" w:after="80"/>
      </w:pPr>
      <w:r>
        <w:rPr>
          <w:rFonts w:ascii="Arial" w:cs="Arial" w:eastAsia="Arial" w:hAnsi="Arial"/>
          <w:sz w:val="20"/>
          <w:szCs w:val="20"/>
        </w:rPr>
        <w:t xml:space="preserve">Define OJK and Bank Indonesia reporting obligations: which transaction events trigger regulatory reporting, in what format, and through what channel</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7706" w:sz="1"/>
              <w:left w:val="single" w:color="D97706" w:sz="1"/>
              <w:bottom w:val="single" w:color="D97706" w:sz="1"/>
              <w:right w:val="single" w:color="D97706" w:sz="1"/>
            </w:tcBorders>
            <w:shd w:fill="D97706" w:val="clear"/>
            <w:tcMar>
              <w:top w:type="dxa" w:w="80"/>
              <w:left w:type="dxa" w:w="160"/>
              <w:bottom w:type="dxa" w:w="80"/>
              <w:right w:type="dxa" w:w="160"/>
            </w:tcMar>
          </w:tcPr>
          <w:p>
            <w:pPr>
              <w:spacing w:before="0" w:after="100"/>
              <w:jc w:val="left"/>
            </w:pPr>
            <w:r>
              <w:rPr>
                <w:rFonts w:ascii="Arial" w:cs="Arial" w:eastAsia="Arial" w:hAnsi="Arial"/>
                <w:b/>
                <w:bCs/>
                <w:color w:val="FFFFFF"/>
                <w:sz w:val="19"/>
                <w:szCs w:val="19"/>
              </w:rPr>
              <w:t xml:space="preserve">📌  Example: Certification before production access</w:t>
            </w:r>
          </w:p>
        </w:tc>
      </w:tr>
      <w:tr>
        <w:tc>
          <w:tcPr>
            <w:tcBorders>
              <w:top w:val="single" w:color="D97706" w:sz="1"/>
              <w:left w:val="single" w:color="D97706" w:sz="1"/>
              <w:bottom w:val="single" w:color="D97706" w:sz="1"/>
              <w:right w:val="single" w:color="D97706" w:sz="1"/>
            </w:tcBorders>
            <w:shd w:fill="FEF3C7" w:val="clear"/>
            <w:tcMar>
              <w:top w:type="dxa" w:w="60"/>
              <w:left w:type="dxa" w:w="200"/>
              <w:bottom w:type="dxa" w:w="60"/>
              <w:right w:type="dxa" w:w="160"/>
            </w:tcMar>
          </w:tcPr>
          <w:p>
            <w:pPr>
              <w:spacing w:before="0" w:after="40"/>
              <w:jc w:val="left"/>
            </w:pPr>
            <w:r>
              <w:rPr>
                <w:rFonts w:ascii="Arial" w:cs="Arial" w:eastAsia="Arial" w:hAnsi="Arial"/>
                <w:sz w:val="19"/>
                <w:szCs w:val="19"/>
              </w:rPr>
              <w:t xml:space="preserve">A logistics company builds a Seller App for the Logistics sector and completes sandbox integration. Before receiving production credentials, they must pass sector certification:</w:t>
            </w:r>
          </w:p>
        </w:tc>
      </w:tr>
      <w:tr>
        <w:tc>
          <w:tcPr>
            <w:tcBorders>
              <w:top w:val="single" w:color="D97706" w:sz="1"/>
              <w:left w:val="single" w:color="D97706" w:sz="1"/>
              <w:bottom w:val="single" w:color="D97706" w:sz="1"/>
              <w:right w:val="single" w:color="D97706" w:sz="1"/>
            </w:tcBorders>
            <w:shd w:fill="FEF3C7" w:val="clear"/>
            <w:tcMar>
              <w:top w:type="dxa" w:w="60"/>
              <w:left w:type="dxa" w:w="200"/>
              <w:bottom w:type="dxa" w:w="60"/>
              <w:right w:type="dxa" w:w="160"/>
            </w:tcMar>
          </w:tcPr>
          <w:p>
            <w:pPr>
              <w:spacing w:before="0" w:after="40"/>
              <w:jc w:val="left"/>
            </w:pPr>
            <w:r>
              <w:rPr>
                <w:rFonts w:ascii="Arial" w:cs="Arial" w:eastAsia="Arial" w:hAnsi="Arial"/>
                <w:b/>
                <w:bCs/>
                <w:sz w:val="19"/>
                <w:szCs w:val="19"/>
              </w:rPr>
              <w:t xml:space="preserve">Scenario 1:</w:t>
            </w:r>
            <w:r>
              <w:rPr>
                <w:rFonts w:ascii="Arial" w:cs="Arial" w:eastAsia="Arial" w:hAnsi="Arial"/>
                <w:sz w:val="19"/>
                <w:szCs w:val="19"/>
              </w:rPr>
              <w:t xml:space="preserve">  Complete a hyperlocal delivery order end-to-end (search → confirm → status: delivered → settlement)</w:t>
            </w:r>
          </w:p>
        </w:tc>
      </w:tr>
      <w:tr>
        <w:tc>
          <w:tcPr>
            <w:tcBorders>
              <w:top w:val="single" w:color="D97706" w:sz="1"/>
              <w:left w:val="single" w:color="D97706" w:sz="1"/>
              <w:bottom w:val="single" w:color="D97706" w:sz="1"/>
              <w:right w:val="single" w:color="D97706" w:sz="1"/>
            </w:tcBorders>
            <w:shd w:fill="FEF3C7" w:val="clear"/>
            <w:tcMar>
              <w:top w:type="dxa" w:w="60"/>
              <w:left w:type="dxa" w:w="200"/>
              <w:bottom w:type="dxa" w:w="60"/>
              <w:right w:type="dxa" w:w="160"/>
            </w:tcMar>
          </w:tcPr>
          <w:p>
            <w:pPr>
              <w:spacing w:before="0" w:after="40"/>
              <w:jc w:val="left"/>
            </w:pPr>
            <w:r>
              <w:rPr>
                <w:rFonts w:ascii="Arial" w:cs="Arial" w:eastAsia="Arial" w:hAnsi="Arial"/>
                <w:b/>
                <w:bCs/>
                <w:sz w:val="19"/>
                <w:szCs w:val="19"/>
              </w:rPr>
              <w:t xml:space="preserve">Scenario 2:</w:t>
            </w:r>
            <w:r>
              <w:rPr>
                <w:rFonts w:ascii="Arial" w:cs="Arial" w:eastAsia="Arial" w:hAnsi="Arial"/>
                <w:sz w:val="19"/>
                <w:szCs w:val="19"/>
              </w:rPr>
              <w:t xml:space="preserve">  Complete an inter-city shipment with proof of delivery (photo upload at delivery confirmation)</w:t>
            </w:r>
          </w:p>
        </w:tc>
      </w:tr>
      <w:tr>
        <w:tc>
          <w:tcPr>
            <w:tcBorders>
              <w:top w:val="single" w:color="D97706" w:sz="1"/>
              <w:left w:val="single" w:color="D97706" w:sz="1"/>
              <w:bottom w:val="single" w:color="D97706" w:sz="1"/>
              <w:right w:val="single" w:color="D97706" w:sz="1"/>
            </w:tcBorders>
            <w:shd w:fill="FEF3C7" w:val="clear"/>
            <w:tcMar>
              <w:top w:type="dxa" w:w="60"/>
              <w:left w:type="dxa" w:w="200"/>
              <w:bottom w:type="dxa" w:w="60"/>
              <w:right w:type="dxa" w:w="160"/>
            </w:tcMar>
          </w:tcPr>
          <w:p>
            <w:pPr>
              <w:spacing w:before="0" w:after="40"/>
              <w:jc w:val="left"/>
            </w:pPr>
            <w:r>
              <w:rPr>
                <w:rFonts w:ascii="Arial" w:cs="Arial" w:eastAsia="Arial" w:hAnsi="Arial"/>
                <w:b/>
                <w:bCs/>
                <w:sz w:val="19"/>
                <w:szCs w:val="19"/>
              </w:rPr>
              <w:t xml:space="preserve">Scenario 3:</w:t>
            </w:r>
            <w:r>
              <w:rPr>
                <w:rFonts w:ascii="Arial" w:cs="Arial" w:eastAsia="Arial" w:hAnsi="Arial"/>
                <w:sz w:val="19"/>
                <w:szCs w:val="19"/>
              </w:rPr>
              <w:t xml:space="preserve">  Handle an order cancellation mid-fulfilment and demonstrate correct status updates and refund initiation</w:t>
            </w:r>
          </w:p>
        </w:tc>
      </w:tr>
      <w:tr>
        <w:tc>
          <w:tcPr>
            <w:tcBorders>
              <w:top w:val="single" w:color="D97706" w:sz="1"/>
              <w:left w:val="single" w:color="D97706" w:sz="1"/>
              <w:bottom w:val="single" w:color="D97706" w:sz="1"/>
              <w:right w:val="single" w:color="D97706" w:sz="1"/>
            </w:tcBorders>
            <w:shd w:fill="FEF3C7" w:val="clear"/>
            <w:tcMar>
              <w:top w:type="dxa" w:w="60"/>
              <w:left w:type="dxa" w:w="200"/>
              <w:bottom w:type="dxa" w:w="60"/>
              <w:right w:type="dxa" w:w="160"/>
            </w:tcMar>
          </w:tcPr>
          <w:p>
            <w:pPr>
              <w:spacing w:before="0" w:after="40"/>
              <w:jc w:val="left"/>
            </w:pPr>
            <w:r>
              <w:rPr>
                <w:rFonts w:ascii="Arial" w:cs="Arial" w:eastAsia="Arial" w:hAnsi="Arial"/>
                <w:sz w:val="19"/>
                <w:szCs w:val="19"/>
              </w:rPr>
              <w:t xml:space="preserve">These scenario sets are defined in the Governance spec. They are run automatically in the ION sandbox — the company receives a certification report and, on passing, production credentials are issued within 1–2 business days.</w:t>
            </w:r>
          </w:p>
        </w:tc>
      </w:tr>
    </w:tbl>
    <w:p>
      <w:pPr>
        <w:spacing w:before="8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9488" w:sz="1"/>
              <w:left w:val="single" w:color="0D9488" w:sz="1"/>
              <w:bottom w:val="single" w:color="0D9488" w:sz="1"/>
              <w:right w:val="single" w:color="0D9488" w:sz="1"/>
            </w:tcBorders>
            <w:shd w:fill="ECFDF5" w:val="clear"/>
            <w:tcMar>
              <w:top w:type="dxa" w:w="80"/>
              <w:left w:type="dxa" w:w="160"/>
              <w:bottom w:type="dxa" w:w="80"/>
              <w:right w:type="dxa" w:w="160"/>
            </w:tcMar>
          </w:tcPr>
          <w:p>
            <w:pPr>
              <w:spacing w:before="0" w:after="100"/>
              <w:jc w:val="left"/>
            </w:pPr>
            <w:r>
              <w:rPr>
                <w:rFonts w:ascii="Arial" w:cs="Arial" w:eastAsia="Arial" w:hAnsi="Arial"/>
                <w:b/>
                <w:bCs/>
                <w:color w:val="0D9488"/>
                <w:sz w:val="18"/>
                <w:szCs w:val="18"/>
              </w:rPr>
              <w:t xml:space="preserve">Primary Owner:  </w:t>
            </w:r>
            <w:r>
              <w:rPr>
                <w:rFonts w:ascii="Arial" w:cs="Arial" w:eastAsia="Arial" w:hAnsi="Arial"/>
                <w:color w:val="1A2B4C"/>
                <w:sz w:val="18"/>
                <w:szCs w:val="18"/>
              </w:rPr>
              <w:t xml:space="preserve">ION Core + regulatory partners + participant working groups</w:t>
            </w:r>
          </w:p>
        </w:tc>
      </w:tr>
    </w:tbl>
    <w:p>
      <w:pPr>
        <w:spacing w:before="60" w:after="0"/>
      </w:pPr>
    </w:p>
    <w:p>
      <w:pPr>
        <w:pBdr>
          <w:bottom w:val="single" w:color="CBD5E1" w:sz="6" w:space="1"/>
        </w:pBdr>
        <w:spacing w:before="200" w:after="40"/>
      </w:pPr>
    </w:p>
    <w:p>
      <w:pPr>
        <w:spacing w:before="200" w:after="0"/>
      </w:pPr>
    </w:p>
    <w:p>
      <w:pPr>
        <w:pStyle w:val="Heading1"/>
        <w:spacing w:before="0" w:after="100"/>
        <w:jc w:val="left"/>
      </w:pPr>
      <w:r>
        <w:rPr>
          <w:rFonts w:ascii="Arial" w:cs="Arial" w:eastAsia="Arial" w:hAnsi="Arial"/>
          <w:sz w:val="20"/>
          <w:szCs w:val="20"/>
        </w:rPr>
        <w:t xml:space="preserve">5.  Next Steps</w:t>
      </w:r>
    </w:p>
    <w:p>
      <w:pPr>
        <w:spacing w:before="0" w:after="100"/>
        <w:jc w:val="left"/>
      </w:pPr>
      <w:r>
        <w:rPr>
          <w:rFonts w:ascii="Arial" w:cs="Arial" w:eastAsia="Arial" w:hAnsi="Arial"/>
          <w:sz w:val="20"/>
          <w:szCs w:val="20"/>
        </w:rPr>
        <w:t xml:space="preserve">The recommended sequencing for this specification work is:</w:t>
      </w:r>
    </w:p>
    <w:p>
      <w:pPr>
        <w:pStyle w:val="ListParagraph"/>
        <w:numPr>
          <w:ilvl w:val="0"/>
          <w:numId w:val="2"/>
        </w:numPr>
        <w:spacing w:before="0" w:after="80"/>
      </w:pPr>
      <w:r>
        <w:rPr>
          <w:rFonts w:ascii="Arial" w:cs="Arial" w:eastAsia="Arial" w:hAnsi="Arial"/>
          <w:b/>
          <w:bCs/>
          <w:color w:val="1A2B4C"/>
          <w:sz w:val="20"/>
          <w:szCs w:val="20"/>
        </w:rPr>
        <w:t xml:space="preserve">Phase 1 (Foundation):</w:t>
      </w:r>
      <w:r>
        <w:rPr>
          <w:rFonts w:ascii="Arial" w:cs="Arial" w:eastAsia="Arial" w:hAnsi="Arial"/>
          <w:sz w:val="20"/>
          <w:szCs w:val="20"/>
        </w:rPr>
        <w:t xml:space="preserve">  Categories 1, 3, 4 — Identity/Registry, Regulatory Compliance, Payment/Settlement. These are cross-cutting dependencies for everything else.</w:t>
      </w:r>
    </w:p>
    <w:p>
      <w:pPr>
        <w:pStyle w:val="ListParagraph"/>
        <w:numPr>
          <w:ilvl w:val="0"/>
          <w:numId w:val="2"/>
        </w:numPr>
        <w:spacing w:before="0" w:after="80"/>
      </w:pPr>
      <w:r>
        <w:rPr>
          <w:rFonts w:ascii="Arial" w:cs="Arial" w:eastAsia="Arial" w:hAnsi="Arial"/>
          <w:b/>
          <w:bCs/>
          <w:color w:val="1A2B4C"/>
          <w:sz w:val="20"/>
          <w:szCs w:val="20"/>
        </w:rPr>
        <w:t xml:space="preserve">Phase 2 (Sector Schemas):</w:t>
      </w:r>
      <w:r>
        <w:rPr>
          <w:rFonts w:ascii="Arial" w:cs="Arial" w:eastAsia="Arial" w:hAnsi="Arial"/>
          <w:sz w:val="20"/>
          <w:szCs w:val="20"/>
        </w:rPr>
        <w:t xml:space="preserve">  Category 2 — Six sector schema packs. Start with Trade (largest sector) and Logistics (highest cross-sector dependency).</w:t>
      </w:r>
    </w:p>
    <w:p>
      <w:pPr>
        <w:pStyle w:val="ListParagraph"/>
        <w:numPr>
          <w:ilvl w:val="0"/>
          <w:numId w:val="2"/>
        </w:numPr>
        <w:spacing w:before="0" w:after="80"/>
      </w:pPr>
      <w:r>
        <w:rPr>
          <w:rFonts w:ascii="Arial" w:cs="Arial" w:eastAsia="Arial" w:hAnsi="Arial"/>
          <w:b/>
          <w:bCs/>
          <w:color w:val="1A2B4C"/>
          <w:sz w:val="20"/>
          <w:szCs w:val="20"/>
        </w:rPr>
        <w:t xml:space="preserve">Phase 3 (Operational):</w:t>
      </w:r>
      <w:r>
        <w:rPr>
          <w:rFonts w:ascii="Arial" w:cs="Arial" w:eastAsia="Arial" w:hAnsi="Arial"/>
          <w:sz w:val="20"/>
          <w:szCs w:val="20"/>
        </w:rPr>
        <w:t xml:space="preserve">  Categories 5, 6, 7 — Geographic extensions, localisation, and transaction flows. These build on the schemas defined in Phase 2.</w:t>
      </w:r>
    </w:p>
    <w:p>
      <w:pPr>
        <w:pStyle w:val="ListParagraph"/>
        <w:numPr>
          <w:ilvl w:val="0"/>
          <w:numId w:val="2"/>
        </w:numPr>
        <w:spacing w:before="0" w:after="80"/>
      </w:pPr>
      <w:r>
        <w:rPr>
          <w:rFonts w:ascii="Arial" w:cs="Arial" w:eastAsia="Arial" w:hAnsi="Arial"/>
          <w:b/>
          <w:bCs/>
          <w:color w:val="1A2B4C"/>
          <w:sz w:val="20"/>
          <w:szCs w:val="20"/>
        </w:rPr>
        <w:t xml:space="preserve">Phase 4 (Infrastructure Config):</w:t>
      </w:r>
      <w:r>
        <w:rPr>
          <w:rFonts w:ascii="Arial" w:cs="Arial" w:eastAsia="Arial" w:hAnsi="Arial"/>
          <w:sz w:val="20"/>
          <w:szCs w:val="20"/>
        </w:rPr>
        <w:t xml:space="preserve">  Categories 8, 9, 10 — ONIX rules, CDS configuration, and governance. These operationalise everything defined in Phases 1–3.</w:t>
      </w:r>
    </w:p>
    <w:p>
      <w:pPr>
        <w:spacing w:before="120" w:after="0"/>
      </w:pPr>
    </w:p>
    <w:p>
      <w:pPr>
        <w:spacing w:before="0" w:after="100"/>
        <w:jc w:val="left"/>
      </w:pPr>
      <w:r>
        <w:rPr>
          <w:rFonts w:ascii="Arial" w:cs="Arial" w:eastAsia="Arial" w:hAnsi="Arial"/>
          <w:sz w:val="20"/>
          <w:szCs w:val="20"/>
        </w:rPr>
        <w:t xml:space="preserve">Each category should result in a published specification document, reviewed by the relevant TSP owners and approved by ION Core before implementation begins. Specification work and implementation can run in parallel — Type 3 NPs can begin integration against draft specs in sandbox while final specs are being reviewed.</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tabs>
        <w:tab w:val="right" w:pos="9360"/>
      </w:tabs>
      <w:spacing w:before="120" w:after="0"/>
    </w:pPr>
    <w:r>
      <w:rPr>
        <w:rFonts w:ascii="Arial" w:cs="Arial" w:eastAsia="Arial" w:hAnsi="Arial"/>
        <w:color w:val="64748B"/>
        <w:sz w:val="16"/>
        <w:szCs w:val="16"/>
      </w:rPr>
      <w:t xml:space="preserve">Indonesia Open Network (ION)</w:t>
    </w:r>
    <w:r>
      <w:rPr>
        <w:rFonts w:ascii="Arial" w:cs="Arial" w:eastAsia="Arial" w:hAnsi="Arial"/>
        <w:sz w:val="16"/>
        <w:szCs w:val="16"/>
      </w:rPr>
      <w:t xml:space="preserve">	</w:t>
    </w:r>
    <w:r>
      <w:rPr>
        <w:rFonts w:ascii="Arial" w:cs="Arial" w:eastAsia="Arial" w:hAnsi="Arial"/>
        <w:color w:val="64748B"/>
        <w:sz w:val="16"/>
        <w:szCs w:val="16"/>
      </w:rPr>
      <w:t xml:space="preserve">Page </w:t>
    </w:r>
    <w:r>
      <w:rPr>
        <w:rFonts w:ascii="Arial" w:cs="Arial" w:eastAsia="Arial" w:hAnsi="Arial"/>
        <w:color w:val="64748B"/>
        <w:sz w:val="16"/>
        <w:szCs w:val="16"/>
      </w:rPr>
      <w:fldChar w:fldCharType="begin"/>
      <w:instrText xml:space="preserve">PAGE</w:instrText>
      <w:fldChar w:fldCharType="separate"/>
      <w:fldChar w:fldCharType="end"/>
    </w:r>
    <w:r>
      <w:rPr>
        <w:rFonts w:ascii="Arial" w:cs="Arial" w:eastAsia="Arial" w:hAnsi="Arial"/>
        <w:color w:val="64748B"/>
        <w:sz w:val="16"/>
        <w:szCs w:val="16"/>
      </w:rPr>
      <w:t xml:space="preserve"> of </w:t>
    </w:r>
    <w:r>
      <w:rPr>
        <w:rFonts w:ascii="Arial" w:cs="Arial" w:eastAsia="Arial" w:hAnsi="Arial"/>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9488" w:sz="6" w:space="4"/>
      </w:pBdr>
      <w:tabs>
        <w:tab w:val="right" w:pos="9360"/>
      </w:tabs>
      <w:spacing w:before="0" w:after="120"/>
    </w:pPr>
    <w:r>
      <w:rPr>
        <w:rFonts w:ascii="Arial" w:cs="Arial" w:eastAsia="Arial" w:hAnsi="Arial"/>
        <w:b/>
        <w:bCs/>
        <w:color w:val="1A2B4C"/>
        <w:sz w:val="18"/>
        <w:szCs w:val="18"/>
      </w:rPr>
      <w:t xml:space="preserve">ION Network — Beckn Protocol 2.0 Specification Work</w:t>
    </w:r>
    <w:r>
      <w:rPr>
        <w:rFonts w:ascii="Arial" w:cs="Arial" w:eastAsia="Arial" w:hAnsi="Arial"/>
        <w:sz w:val="18"/>
        <w:szCs w:val="18"/>
      </w:rPr>
      <w:t xml:space="preserve">	</w:t>
    </w:r>
    <w:r>
      <w:rPr>
        <w:rFonts w:ascii="Arial" w:cs="Arial" w:eastAsia="Arial" w:hAnsi="Arial"/>
        <w:i/>
        <w:iCs/>
        <w:color w:val="64748B"/>
        <w:sz w:val="16"/>
        <w:szCs w:val="16"/>
      </w:rPr>
      <w:t xml:space="preserve">Confidential Draft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10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2B4C"/>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1A2B4C"/>
      <w:sz w:val="28"/>
      <w:szCs w:val="28"/>
    </w:rPr>
  </w:style>
  <w:style w:type="paragraph" w:styleId="Heading3">
    <w:name w:val="Heading 3"/>
    <w:basedOn w:val="Normal"/>
    <w:next w:val="Normal"/>
    <w:qFormat/>
    <w:pPr>
      <w:spacing w:before="180" w:after="80"/>
      <w:outlineLvl w:val="2"/>
    </w:pPr>
    <w:rPr>
      <w:rFonts w:ascii="Arial" w:cs="Arial" w:eastAsia="Arial" w:hAnsi="Arial"/>
      <w:b/>
      <w:bCs/>
      <w:color w:val="0D948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2026-03-09T18:56:19.813Z</dcterms:created>
  <dcterms:modified xsi:type="dcterms:W3CDTF">2026-03-09T18:56:19.814Z</dcterms:modified>
</cp:coreProperties>
</file>

<file path=docProps/custom.xml><?xml version="1.0" encoding="utf-8"?>
<Properties xmlns="http://schemas.openxmlformats.org/officeDocument/2006/custom-properties" xmlns:vt="http://schemas.openxmlformats.org/officeDocument/2006/docPropsVTypes"/>
</file>