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E22A" w14:textId="77777777" w:rsidR="0099690F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Analiza vânzărilor – Sample Superstore, 2014–2017</w:t>
      </w:r>
    </w:p>
    <w:p w14:paraId="0AF18088" w14:textId="77777777" w:rsidR="0094083B" w:rsidRPr="0094083B" w:rsidRDefault="00000000" w:rsidP="0094083B">
      <w:pPr>
        <w:pBdr>
          <w:bottom w:val="single" w:sz="8" w:space="6" w:color="1F3864"/>
        </w:pBdr>
        <w:spacing w:after="20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Raport de analiză comercială  |  Autor</w:t>
      </w:r>
      <w:r w:rsidR="00210C51">
        <w:rPr>
          <w:color w:val="595959"/>
          <w:sz w:val="20"/>
          <w:szCs w:val="20"/>
        </w:rPr>
        <w:t xml:space="preserve"> Ionel Francesco</w:t>
      </w:r>
      <w:r>
        <w:rPr>
          <w:color w:val="595959"/>
          <w:sz w:val="20"/>
          <w:szCs w:val="20"/>
        </w:rPr>
        <w:t xml:space="preserve">  |  Octombrie 2026</w:t>
      </w:r>
      <w:r w:rsidR="0094083B">
        <w:rPr>
          <w:color w:val="595959"/>
          <w:sz w:val="20"/>
          <w:szCs w:val="20"/>
        </w:rPr>
        <w:t xml:space="preserve"> </w:t>
      </w:r>
      <w:r w:rsidR="0094083B">
        <w:rPr>
          <w:color w:val="595959"/>
          <w:sz w:val="20"/>
          <w:szCs w:val="20"/>
        </w:rPr>
        <w:t>|</w:t>
      </w:r>
      <w:r w:rsidR="0094083B">
        <w:rPr>
          <w:color w:val="595959"/>
          <w:sz w:val="20"/>
          <w:szCs w:val="20"/>
        </w:rPr>
        <w:t xml:space="preserve"> LinkedIn </w:t>
      </w:r>
      <w:r w:rsidR="0094083B" w:rsidRPr="0094083B">
        <w:rPr>
          <w:color w:val="595959"/>
          <w:sz w:val="20"/>
          <w:szCs w:val="20"/>
        </w:rPr>
        <w:t>www.linkedin.com/in/</w:t>
      </w:r>
    </w:p>
    <w:p w14:paraId="766433DB" w14:textId="6DDC86A5" w:rsidR="0099690F" w:rsidRDefault="0094083B" w:rsidP="0094083B">
      <w:pPr>
        <w:pBdr>
          <w:bottom w:val="single" w:sz="8" w:space="6" w:color="1F3864"/>
        </w:pBdr>
        <w:spacing w:after="200"/>
      </w:pPr>
      <w:r w:rsidRPr="0094083B">
        <w:rPr>
          <w:color w:val="595959"/>
          <w:sz w:val="20"/>
          <w:szCs w:val="20"/>
        </w:rPr>
        <w:t>francesco-ionel-97094a351</w:t>
      </w:r>
    </w:p>
    <w:p w14:paraId="7D264726" w14:textId="77777777" w:rsidR="0099690F" w:rsidRDefault="00000000">
      <w:pPr>
        <w:pStyle w:val="Heading1"/>
      </w:pPr>
      <w:r>
        <w:t>1. Rezumat executiv</w:t>
      </w:r>
    </w:p>
    <w:p w14:paraId="408480E7" w14:textId="77777777" w:rsidR="0099690F" w:rsidRDefault="00000000">
      <w:pPr>
        <w:spacing w:after="120" w:line="276" w:lineRule="auto"/>
      </w:pPr>
      <w:r>
        <w:t>Compania din setul Sample Superstore a vândut 2,30 milioane USD în 2014–2017, cu un profit de 286.397 USD (marjă 12,5%). Creșterea este solidă, dar profitul este erodat de discounturi mari și de câteva produse și regiuni neprofitabile.</w:t>
      </w:r>
    </w:p>
    <w:p w14:paraId="365200C0" w14:textId="77777777" w:rsidR="009969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Vânzările au crescut cu 51% între 2014 și 2017, iar profitul cu 89% (de la 49.544 la 93.439 USD).</w:t>
      </w:r>
    </w:p>
    <w:p w14:paraId="02F38FA2" w14:textId="77777777" w:rsidR="009969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Liniile cu discount peste 20% (14% din total) au generat pierderi de 135.376 USD, echivalentul a 47% din profitul total.</w:t>
      </w:r>
    </w:p>
    <w:p w14:paraId="54D9F113" w14:textId="77777777" w:rsidR="009969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Tables, Bookcases și Supplies sunt pe pierdere, iar categoria Furniture are o marjă de doar 2,5%.</w:t>
      </w:r>
    </w:p>
    <w:p w14:paraId="48023AB9" w14:textId="77777777" w:rsidR="009969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Regiunea Central are cea mai mică marjă (7,9%) și cel mai mare discount mediu (24%).</w:t>
      </w:r>
    </w:p>
    <w:p w14:paraId="1893AD5E" w14:textId="77777777" w:rsidR="0099690F" w:rsidRDefault="00000000">
      <w:pPr>
        <w:pStyle w:val="Heading1"/>
      </w:pPr>
      <w:r>
        <w:t>2. Date și metodă</w:t>
      </w:r>
    </w:p>
    <w:p w14:paraId="746EA0AC" w14:textId="77777777" w:rsidR="0099690F" w:rsidRDefault="00000000">
      <w:pPr>
        <w:spacing w:after="120" w:line="276" w:lineRule="auto"/>
      </w:pPr>
      <w:r>
        <w:t>Sursa este setul public „Sample Superstore” de pe Kaggle: 9.994 de linii de comandă din SUA, cu vânzări, cantități, discounturi și profit, pe perioada 2014–2017. Datele calendaristice apăreau în CSV în două formate amestecate; le-am citit ca lună/zi/an și le-am convertit în date reale. Analiza este construită în Excel (SUMIFS, COUNTIFS, INDEX/MATCH, tabel structurat, dashboard cu filtru pe an), iar totalurile au fost verificate printr-un calcul independent. Toate sumele sunt în USD.</w:t>
      </w:r>
    </w:p>
    <w:p w14:paraId="5316E929" w14:textId="77777777" w:rsidR="0099690F" w:rsidRDefault="00000000">
      <w:pPr>
        <w:pStyle w:val="Heading1"/>
      </w:pPr>
      <w:r>
        <w:t>3. Constatări</w:t>
      </w:r>
    </w:p>
    <w:p w14:paraId="30FB9B58" w14:textId="77777777" w:rsidR="0099690F" w:rsidRDefault="00000000">
      <w:pPr>
        <w:pStyle w:val="Heading2"/>
      </w:pPr>
      <w:r>
        <w:t>3.1 Creștere și profitabilitate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2000"/>
        <w:gridCol w:w="2000"/>
        <w:gridCol w:w="2000"/>
        <w:gridCol w:w="2000"/>
      </w:tblGrid>
      <w:tr w:rsidR="0099690F" w14:paraId="7106B474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4374" w14:textId="77777777" w:rsidR="0099690F" w:rsidRDefault="00000000">
            <w:r>
              <w:rPr>
                <w:b/>
                <w:bCs/>
                <w:color w:val="FFFFFF"/>
                <w:sz w:val="20"/>
                <w:szCs w:val="20"/>
              </w:rPr>
              <w:t>An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93BB" w14:textId="77777777" w:rsidR="0099690F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Vânzări (USD)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3790" w14:textId="77777777" w:rsidR="0099690F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Profit (USD)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65DA" w14:textId="77777777" w:rsidR="0099690F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Marjă profit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5487" w14:textId="77777777" w:rsidR="0099690F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Creștere vânzări</w:t>
            </w:r>
          </w:p>
        </w:tc>
      </w:tr>
      <w:tr w:rsidR="0099690F" w14:paraId="6EBC51AC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B82F" w14:textId="77777777" w:rsidR="0099690F" w:rsidRDefault="00000000">
            <w:r>
              <w:rPr>
                <w:sz w:val="20"/>
                <w:szCs w:val="20"/>
              </w:rPr>
              <w:t>2014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A83B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484.247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D261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49.544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78EE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10,2%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03F3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-</w:t>
            </w:r>
          </w:p>
        </w:tc>
      </w:tr>
      <w:tr w:rsidR="0099690F" w14:paraId="309FBAB7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2FDD" w14:textId="77777777" w:rsidR="0099690F" w:rsidRDefault="00000000">
            <w:r>
              <w:rPr>
                <w:sz w:val="20"/>
                <w:szCs w:val="20"/>
              </w:rPr>
              <w:t>2015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1F35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470.533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F9A4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61.619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C3B2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13,1%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6992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-2,8%</w:t>
            </w:r>
          </w:p>
        </w:tc>
      </w:tr>
      <w:tr w:rsidR="0099690F" w14:paraId="7853B8CF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CC8D" w14:textId="77777777" w:rsidR="0099690F" w:rsidRDefault="00000000">
            <w:r>
              <w:rPr>
                <w:sz w:val="20"/>
                <w:szCs w:val="20"/>
              </w:rPr>
              <w:t>2016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47C4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609.206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FE7F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81.795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353D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13,4%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3C9A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+29,5%</w:t>
            </w:r>
          </w:p>
        </w:tc>
      </w:tr>
      <w:tr w:rsidR="0099690F" w14:paraId="6AF6721B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5C75F" w14:textId="77777777" w:rsidR="0099690F" w:rsidRDefault="00000000">
            <w:r>
              <w:rPr>
                <w:sz w:val="20"/>
                <w:szCs w:val="20"/>
              </w:rPr>
              <w:t>2017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7031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733.215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B1C2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93.439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54E4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12,7%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7A94" w14:textId="77777777" w:rsidR="0099690F" w:rsidRDefault="00000000">
            <w:pPr>
              <w:jc w:val="right"/>
            </w:pPr>
            <w:r>
              <w:rPr>
                <w:sz w:val="20"/>
                <w:szCs w:val="20"/>
              </w:rPr>
              <w:t>+20,4%</w:t>
            </w:r>
          </w:p>
        </w:tc>
      </w:tr>
      <w:tr w:rsidR="0099690F" w14:paraId="16590243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56B2" w14:textId="77777777" w:rsidR="0099690F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98E4" w14:textId="77777777" w:rsidR="0099690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2.297.201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65CE" w14:textId="77777777" w:rsidR="0099690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286.397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56CC" w14:textId="77777777" w:rsidR="0099690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12,5%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841D" w14:textId="77777777" w:rsidR="0099690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+51% (2014→2017)</w:t>
            </w:r>
          </w:p>
        </w:tc>
      </w:tr>
    </w:tbl>
    <w:p w14:paraId="6FB88F3F" w14:textId="77777777" w:rsidR="0099690F" w:rsidRDefault="0099690F">
      <w:pPr>
        <w:spacing w:after="100"/>
      </w:pPr>
    </w:p>
    <w:p w14:paraId="165C5E27" w14:textId="77777777" w:rsidR="0099690F" w:rsidRDefault="00000000">
      <w:pPr>
        <w:spacing w:after="120" w:line="276" w:lineRule="auto"/>
      </w:pPr>
      <w:r>
        <w:t>Vânzările au scăzut ușor în 2015 (-2,8%), apoi au crescut cu 29% în 2016 și cu 20% în 2017. Marja de profit a urcat de la 10,2% la 12,7%, cu un maxim de 13,4% în 2016.</w:t>
      </w:r>
    </w:p>
    <w:p w14:paraId="7094CA5E" w14:textId="77777777" w:rsidR="0099690F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26A8F5E9" wp14:editId="3AEEB7FF">
            <wp:extent cx="4953000" cy="2828925"/>
            <wp:effectExtent l="0" t="0" r="0" b="0"/>
            <wp:docPr id="1" name="Vânzări și marjă de profit pe an" descr="Vânzări și marjă de profit pe an" title="Vânzări și marjă de profit pe 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6DF0" w14:textId="77777777" w:rsidR="0099690F" w:rsidRDefault="00000000">
      <w:pPr>
        <w:pStyle w:val="Heading2"/>
      </w:pPr>
      <w:r>
        <w:t>3.2 Discounturile reduc profitul</w:t>
      </w:r>
    </w:p>
    <w:p w14:paraId="6B9A5857" w14:textId="77777777" w:rsidR="0099690F" w:rsidRDefault="00000000">
      <w:pPr>
        <w:spacing w:after="120" w:line="276" w:lineRule="auto"/>
      </w:pPr>
      <w:r>
        <w:t>Fără discount, marja este de 29,5%. La discount de 1–20% scade la 11,9%, iar peste 20% devine negativă (-15,3% la 21–40% și -77,4% peste 40%). Liniile cu discount peste 20% sunt 14% din total și 16% din vânzări, dar produc o pierdere de 135.376 USD. Este o corelație: unele produse, precum mobilierul, primesc mai des discounturi mari, deci efectul se suprapune parțial cu mixul de produse.</w:t>
      </w:r>
    </w:p>
    <w:p w14:paraId="1B3BFEBD" w14:textId="77777777" w:rsidR="0099690F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73158EFF" wp14:editId="1D1BB2EB">
            <wp:extent cx="4953000" cy="2828925"/>
            <wp:effectExtent l="0" t="0" r="0" b="0"/>
            <wp:docPr id="126386745" name="Profit pe nivel de discount" descr="Profit pe nivel de discount" title="Profit pe nivel de dis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5952" w14:textId="77777777" w:rsidR="0099690F" w:rsidRDefault="00000000">
      <w:pPr>
        <w:pStyle w:val="Heading2"/>
      </w:pPr>
      <w:r>
        <w:t>3.3 Produse</w:t>
      </w:r>
    </w:p>
    <w:p w14:paraId="407795A0" w14:textId="77777777" w:rsidR="0099690F" w:rsidRDefault="00000000">
      <w:pPr>
        <w:spacing w:after="120" w:line="276" w:lineRule="auto"/>
      </w:pPr>
      <w:r>
        <w:t>Copiers (55.618 USD), Phones (44.516), Accessories (41.937) și Paper (34.054) aduc cel mai mult profit. Tables (-17.725 USD), Bookcases (-3.473) și Supplies (-1.189) pierd bani. La Tables, liniile fără discount au profit pozitiv (13.276 USD), iar cele cu discount peste 20% pierd 30.698 USD. La nivel de categorie, Technology (marjă 17,4%) și Office Supplies (17,0%) depășesc cu mult Furniture (2,5%).</w:t>
      </w:r>
    </w:p>
    <w:p w14:paraId="46B3F81C" w14:textId="77777777" w:rsidR="0099690F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4AAB9299" wp14:editId="3323DE62">
            <wp:extent cx="4572000" cy="3390900"/>
            <wp:effectExtent l="0" t="0" r="0" b="0"/>
            <wp:docPr id="1306024256" name="Profit pe sub-categorie" descr="Profit pe sub-categorie" title="Profit pe sub-categor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33FA" w14:textId="77777777" w:rsidR="0099690F" w:rsidRDefault="00000000">
      <w:pPr>
        <w:pStyle w:val="Heading2"/>
      </w:pPr>
      <w:r>
        <w:t>3.4 Regiuni</w:t>
      </w:r>
    </w:p>
    <w:p w14:paraId="63D09D37" w14:textId="77777777" w:rsidR="0099690F" w:rsidRDefault="00000000">
      <w:pPr>
        <w:spacing w:after="120" w:line="276" w:lineRule="auto"/>
      </w:pPr>
      <w:r>
        <w:t>West (marjă 14,9%) și East (13,5%) sunt cele mai profitabile. Central are marja de 7,9% și un discount mediu de 24%, față de 11–15% în celelalte regiuni. La nivel de stat, Texas (-25.729 USD), Ohio (-16.971), Pennsylvania (-15.560) și Illinois (-12.608) sunt pe pierdere.</w:t>
      </w:r>
    </w:p>
    <w:p w14:paraId="552C24F1" w14:textId="77777777" w:rsidR="0099690F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2173789" wp14:editId="4FBA45C1">
            <wp:extent cx="5334000" cy="2533650"/>
            <wp:effectExtent l="0" t="0" r="0" b="0"/>
            <wp:docPr id="1228226651" name="Marjă și discount pe regiune" descr="Marjă și discount pe regiune" title="Marjă și discount pe regi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0E51" w14:textId="77777777" w:rsidR="0099690F" w:rsidRDefault="00000000">
      <w:pPr>
        <w:pStyle w:val="Heading2"/>
      </w:pPr>
      <w:r>
        <w:t>3.5 Sezonalitate</w:t>
      </w:r>
    </w:p>
    <w:p w14:paraId="133BE7F6" w14:textId="77777777" w:rsidR="0099690F" w:rsidRDefault="00000000">
      <w:pPr>
        <w:spacing w:after="120" w:line="276" w:lineRule="auto"/>
      </w:pPr>
      <w:r>
        <w:t>Septembrie, noiembrie și decembrie aduc 43% din vânzările totale, deci cererea este concentrată spre finalul anului.</w:t>
      </w:r>
    </w:p>
    <w:p w14:paraId="7C3E741F" w14:textId="77777777" w:rsidR="0099690F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3812E5CB" wp14:editId="48065DB5">
            <wp:extent cx="4953000" cy="2686050"/>
            <wp:effectExtent l="0" t="0" r="0" b="0"/>
            <wp:docPr id="71676462" name="Vânzări pe lună" descr="Vânzări pe lună" title="Vânzări pe lun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CC77" w14:textId="77777777" w:rsidR="0099690F" w:rsidRDefault="00000000">
      <w:pPr>
        <w:pStyle w:val="Heading1"/>
      </w:pPr>
      <w:r>
        <w:t>4. Recomandări</w:t>
      </w:r>
    </w:p>
    <w:p w14:paraId="4425A6CE" w14:textId="77777777" w:rsidR="0099690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Plafonează discountul la 20% și cere aprobare peste acest prag, începând cu regiunea Central. Ținta este reducerea pierderii de 135.376 USD generate de discounturile mari; efectul asupra volumului trebuie testat.</w:t>
      </w:r>
    </w:p>
    <w:p w14:paraId="737D01CE" w14:textId="77777777" w:rsidR="0099690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Revizuiește prețurile și discounturile la Tables și Bookcases și testează vânzarea fără discounturi peste 20%.</w:t>
      </w:r>
    </w:p>
    <w:p w14:paraId="1DBB2BEE" w14:textId="77777777" w:rsidR="0099690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Analizează statele pe pierdere (Texas, Ohio, Pennsylvania, Illinois; 70.868 USD pierderi cumulate): costuri de livrare, mix de produse și discounturi locale.</w:t>
      </w:r>
    </w:p>
    <w:p w14:paraId="3091191C" w14:textId="77777777" w:rsidR="0099690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Promovează produsele cu marjă mare (Copiers, Paper, Accessories) prin pachete și cross-sell alături de produsele de volum.</w:t>
      </w:r>
    </w:p>
    <w:p w14:paraId="497D243C" w14:textId="77777777" w:rsidR="0099690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Planifică stocurile și campaniile în jurul lunilor septembrie, noiembrie și decembrie.</w:t>
      </w:r>
    </w:p>
    <w:p w14:paraId="60E3DC33" w14:textId="77777777" w:rsidR="0099690F" w:rsidRDefault="00000000">
      <w:pPr>
        <w:pStyle w:val="Heading1"/>
      </w:pPr>
      <w:r>
        <w:t>5. Limitări</w:t>
      </w:r>
    </w:p>
    <w:p w14:paraId="20837888" w14:textId="77777777" w:rsidR="009969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Este un set de date de exemplu, nu datele reale ale unei companii.</w:t>
      </w:r>
    </w:p>
    <w:p w14:paraId="6EB3B160" w14:textId="77777777" w:rsidR="009969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Analiza nu include costuri de livrare, agenți de vânzări sau clienți unici.</w:t>
      </w:r>
    </w:p>
    <w:p w14:paraId="7EA8A403" w14:textId="77777777" w:rsidR="0099690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Corelația nu înseamnă cauzalitate; recomandările sunt ipoteze de testat, nu rezultate dovedite.</w:t>
      </w:r>
    </w:p>
    <w:sectPr w:rsidR="0099690F">
      <w:footerReference w:type="defaul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61D2" w14:textId="77777777" w:rsidR="00BA0C42" w:rsidRDefault="00BA0C42">
      <w:r>
        <w:separator/>
      </w:r>
    </w:p>
  </w:endnote>
  <w:endnote w:type="continuationSeparator" w:id="0">
    <w:p w14:paraId="0CB8B18C" w14:textId="77777777" w:rsidR="00BA0C42" w:rsidRDefault="00BA0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E278" w14:textId="77777777" w:rsidR="0099690F" w:rsidRDefault="00000000">
    <w:pPr>
      <w:jc w:val="center"/>
    </w:pPr>
    <w:r>
      <w:rPr>
        <w:color w:val="7F7F7F"/>
        <w:sz w:val="16"/>
        <w:szCs w:val="16"/>
      </w:rPr>
      <w:t xml:space="preserve">Analiza vânzărilor – Sample Superstore  |  Pagina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210C51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95413" w14:textId="77777777" w:rsidR="00BA0C42" w:rsidRDefault="00BA0C42">
      <w:r>
        <w:separator/>
      </w:r>
    </w:p>
  </w:footnote>
  <w:footnote w:type="continuationSeparator" w:id="0">
    <w:p w14:paraId="7A381AA7" w14:textId="77777777" w:rsidR="00BA0C42" w:rsidRDefault="00BA0C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0AC1"/>
    <w:multiLevelType w:val="hybridMultilevel"/>
    <w:tmpl w:val="6A3879F2"/>
    <w:lvl w:ilvl="0" w:tplc="ABAEB7CC">
      <w:start w:val="1"/>
      <w:numFmt w:val="bullet"/>
      <w:lvlText w:val="•"/>
      <w:lvlJc w:val="left"/>
      <w:pPr>
        <w:ind w:left="540" w:hanging="270"/>
      </w:pPr>
    </w:lvl>
    <w:lvl w:ilvl="1" w:tplc="BDA84BF6">
      <w:numFmt w:val="decimal"/>
      <w:lvlText w:val=""/>
      <w:lvlJc w:val="left"/>
    </w:lvl>
    <w:lvl w:ilvl="2" w:tplc="7AEC4B2E">
      <w:numFmt w:val="decimal"/>
      <w:lvlText w:val=""/>
      <w:lvlJc w:val="left"/>
    </w:lvl>
    <w:lvl w:ilvl="3" w:tplc="93ACD2D0">
      <w:numFmt w:val="decimal"/>
      <w:lvlText w:val=""/>
      <w:lvlJc w:val="left"/>
    </w:lvl>
    <w:lvl w:ilvl="4" w:tplc="3304A8D8">
      <w:numFmt w:val="decimal"/>
      <w:lvlText w:val=""/>
      <w:lvlJc w:val="left"/>
    </w:lvl>
    <w:lvl w:ilvl="5" w:tplc="EAA6744A">
      <w:numFmt w:val="decimal"/>
      <w:lvlText w:val=""/>
      <w:lvlJc w:val="left"/>
    </w:lvl>
    <w:lvl w:ilvl="6" w:tplc="B02CF870">
      <w:numFmt w:val="decimal"/>
      <w:lvlText w:val=""/>
      <w:lvlJc w:val="left"/>
    </w:lvl>
    <w:lvl w:ilvl="7" w:tplc="AC62A7CA">
      <w:numFmt w:val="decimal"/>
      <w:lvlText w:val=""/>
      <w:lvlJc w:val="left"/>
    </w:lvl>
    <w:lvl w:ilvl="8" w:tplc="6DB070CA">
      <w:numFmt w:val="decimal"/>
      <w:lvlText w:val=""/>
      <w:lvlJc w:val="left"/>
    </w:lvl>
  </w:abstractNum>
  <w:abstractNum w:abstractNumId="1" w15:restartNumberingAfterBreak="0">
    <w:nsid w:val="51156B96"/>
    <w:multiLevelType w:val="hybridMultilevel"/>
    <w:tmpl w:val="5E0C47C2"/>
    <w:lvl w:ilvl="0" w:tplc="46186DDA">
      <w:start w:val="1"/>
      <w:numFmt w:val="decimal"/>
      <w:lvlText w:val="%1."/>
      <w:lvlJc w:val="left"/>
      <w:pPr>
        <w:ind w:left="540" w:hanging="360"/>
      </w:pPr>
    </w:lvl>
    <w:lvl w:ilvl="1" w:tplc="E1CA93A0">
      <w:numFmt w:val="decimal"/>
      <w:lvlText w:val=""/>
      <w:lvlJc w:val="left"/>
    </w:lvl>
    <w:lvl w:ilvl="2" w:tplc="F190AD4C">
      <w:numFmt w:val="decimal"/>
      <w:lvlText w:val=""/>
      <w:lvlJc w:val="left"/>
    </w:lvl>
    <w:lvl w:ilvl="3" w:tplc="E58CC4D0">
      <w:numFmt w:val="decimal"/>
      <w:lvlText w:val=""/>
      <w:lvlJc w:val="left"/>
    </w:lvl>
    <w:lvl w:ilvl="4" w:tplc="E124CCEA">
      <w:numFmt w:val="decimal"/>
      <w:lvlText w:val=""/>
      <w:lvlJc w:val="left"/>
    </w:lvl>
    <w:lvl w:ilvl="5" w:tplc="E162F53A">
      <w:numFmt w:val="decimal"/>
      <w:lvlText w:val=""/>
      <w:lvlJc w:val="left"/>
    </w:lvl>
    <w:lvl w:ilvl="6" w:tplc="5ACA7802">
      <w:numFmt w:val="decimal"/>
      <w:lvlText w:val=""/>
      <w:lvlJc w:val="left"/>
    </w:lvl>
    <w:lvl w:ilvl="7" w:tplc="831C4BCE">
      <w:numFmt w:val="decimal"/>
      <w:lvlText w:val=""/>
      <w:lvlJc w:val="left"/>
    </w:lvl>
    <w:lvl w:ilvl="8" w:tplc="9B56ADE2">
      <w:numFmt w:val="decimal"/>
      <w:lvlText w:val=""/>
      <w:lvlJc w:val="left"/>
    </w:lvl>
  </w:abstractNum>
  <w:abstractNum w:abstractNumId="2" w15:restartNumberingAfterBreak="0">
    <w:nsid w:val="607820D9"/>
    <w:multiLevelType w:val="hybridMultilevel"/>
    <w:tmpl w:val="C590CB02"/>
    <w:lvl w:ilvl="0" w:tplc="C1ECFCB6">
      <w:start w:val="1"/>
      <w:numFmt w:val="bullet"/>
      <w:lvlText w:val="●"/>
      <w:lvlJc w:val="left"/>
      <w:pPr>
        <w:ind w:left="720" w:hanging="360"/>
      </w:pPr>
    </w:lvl>
    <w:lvl w:ilvl="1" w:tplc="A0A0BEE8">
      <w:start w:val="1"/>
      <w:numFmt w:val="bullet"/>
      <w:lvlText w:val="○"/>
      <w:lvlJc w:val="left"/>
      <w:pPr>
        <w:ind w:left="1440" w:hanging="360"/>
      </w:pPr>
    </w:lvl>
    <w:lvl w:ilvl="2" w:tplc="7F78BA98">
      <w:start w:val="1"/>
      <w:numFmt w:val="bullet"/>
      <w:lvlText w:val="■"/>
      <w:lvlJc w:val="left"/>
      <w:pPr>
        <w:ind w:left="2160" w:hanging="360"/>
      </w:pPr>
    </w:lvl>
    <w:lvl w:ilvl="3" w:tplc="D6A4EF5A">
      <w:start w:val="1"/>
      <w:numFmt w:val="bullet"/>
      <w:lvlText w:val="●"/>
      <w:lvlJc w:val="left"/>
      <w:pPr>
        <w:ind w:left="2880" w:hanging="360"/>
      </w:pPr>
    </w:lvl>
    <w:lvl w:ilvl="4" w:tplc="0F744946">
      <w:start w:val="1"/>
      <w:numFmt w:val="bullet"/>
      <w:lvlText w:val="○"/>
      <w:lvlJc w:val="left"/>
      <w:pPr>
        <w:ind w:left="3600" w:hanging="360"/>
      </w:pPr>
    </w:lvl>
    <w:lvl w:ilvl="5" w:tplc="7FE4C580">
      <w:start w:val="1"/>
      <w:numFmt w:val="bullet"/>
      <w:lvlText w:val="■"/>
      <w:lvlJc w:val="left"/>
      <w:pPr>
        <w:ind w:left="4320" w:hanging="360"/>
      </w:pPr>
    </w:lvl>
    <w:lvl w:ilvl="6" w:tplc="30CA3868">
      <w:start w:val="1"/>
      <w:numFmt w:val="bullet"/>
      <w:lvlText w:val="●"/>
      <w:lvlJc w:val="left"/>
      <w:pPr>
        <w:ind w:left="5040" w:hanging="360"/>
      </w:pPr>
    </w:lvl>
    <w:lvl w:ilvl="7" w:tplc="4008D57A">
      <w:start w:val="1"/>
      <w:numFmt w:val="bullet"/>
      <w:lvlText w:val="●"/>
      <w:lvlJc w:val="left"/>
      <w:pPr>
        <w:ind w:left="5760" w:hanging="360"/>
      </w:pPr>
    </w:lvl>
    <w:lvl w:ilvl="8" w:tplc="3D80BE04">
      <w:start w:val="1"/>
      <w:numFmt w:val="bullet"/>
      <w:lvlText w:val="●"/>
      <w:lvlJc w:val="left"/>
      <w:pPr>
        <w:ind w:left="6480" w:hanging="360"/>
      </w:pPr>
    </w:lvl>
  </w:abstractNum>
  <w:num w:numId="1" w16cid:durableId="540023048">
    <w:abstractNumId w:val="2"/>
    <w:lvlOverride w:ilvl="0">
      <w:startOverride w:val="1"/>
    </w:lvlOverride>
  </w:num>
  <w:num w:numId="2" w16cid:durableId="785931433">
    <w:abstractNumId w:val="0"/>
    <w:lvlOverride w:ilvl="0">
      <w:startOverride w:val="1"/>
    </w:lvlOverride>
  </w:num>
  <w:num w:numId="3" w16cid:durableId="14430389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90F"/>
    <w:rsid w:val="00210C51"/>
    <w:rsid w:val="006D1DA1"/>
    <w:rsid w:val="0094083B"/>
    <w:rsid w:val="0099690F"/>
    <w:rsid w:val="00BA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EACA"/>
  <w15:docId w15:val="{15C3E1FE-16B3-44AC-AC33-786DDC19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591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vânzărilor – Sample Superstore</dc:title>
  <dc:creator>Autor</dc:creator>
  <cp:lastModifiedBy>FRANCESCO IONEL</cp:lastModifiedBy>
  <cp:revision>3</cp:revision>
  <dcterms:created xsi:type="dcterms:W3CDTF">2026-10-06T12:06:00Z</dcterms:created>
  <dcterms:modified xsi:type="dcterms:W3CDTF">2026-10-12T12:24:00Z</dcterms:modified>
</cp:coreProperties>
</file>