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03" w:rsidRPr="00605B97" w:rsidRDefault="00006E03" w:rsidP="00006E03">
      <w:pPr>
        <w:snapToGrid w:val="0"/>
        <w:rPr>
          <w:rFonts w:ascii="新細明體" w:hAnsi="新細明體"/>
          <w:sz w:val="28"/>
          <w:szCs w:val="28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6"/>
      </w:tblGrid>
      <w:tr w:rsidR="00006E03" w:rsidRPr="00605B97" w:rsidTr="007E1DBC">
        <w:tc>
          <w:tcPr>
            <w:tcW w:w="9216" w:type="dxa"/>
            <w:shd w:val="clear" w:color="auto" w:fill="auto"/>
          </w:tcPr>
          <w:p w:rsidR="00006E03" w:rsidRPr="00605B97" w:rsidRDefault="00006E03" w:rsidP="007E1DBC">
            <w:pPr>
              <w:snapToGrid w:val="0"/>
              <w:jc w:val="center"/>
              <w:rPr>
                <w:rFonts w:ascii="新細明體" w:hAnsi="新細明體" w:cs="Tahoma"/>
                <w:bCs/>
                <w:spacing w:val="15"/>
                <w:sz w:val="28"/>
                <w:szCs w:val="28"/>
              </w:rPr>
            </w:pPr>
            <w:r w:rsidRPr="00605B97">
              <w:rPr>
                <w:rFonts w:ascii="新細明體" w:hAnsi="新細明體" w:cs="Tahoma" w:hint="eastAsia"/>
                <w:bCs/>
                <w:spacing w:val="15"/>
                <w:sz w:val="28"/>
                <w:szCs w:val="28"/>
                <w:shd w:val="pct15" w:color="auto" w:fill="FFFFFF"/>
              </w:rPr>
              <w:t>失智症的克漏字</w:t>
            </w:r>
          </w:p>
          <w:p w:rsidR="00006E03" w:rsidRPr="00605B97" w:rsidRDefault="00006E03" w:rsidP="007E1DBC">
            <w:pPr>
              <w:snapToGrid w:val="0"/>
              <w:jc w:val="center"/>
              <w:rPr>
                <w:rFonts w:ascii="新細明體" w:hAnsi="新細明體" w:cs="Tahoma"/>
                <w:bCs/>
                <w:spacing w:val="15"/>
                <w:sz w:val="28"/>
                <w:szCs w:val="28"/>
                <w:shd w:val="clear" w:color="auto" w:fill="EAEAEA"/>
              </w:rPr>
            </w:pPr>
          </w:p>
          <w:p w:rsidR="00006E03" w:rsidRPr="00605B97" w:rsidRDefault="00006E03" w:rsidP="007E1DBC">
            <w:pPr>
              <w:snapToGrid w:val="0"/>
              <w:rPr>
                <w:rFonts w:ascii="新細明體" w:hAnsi="新細明體" w:cs="Tahoma"/>
                <w:bCs/>
                <w:spacing w:val="15"/>
                <w:sz w:val="33"/>
                <w:szCs w:val="33"/>
                <w:shd w:val="clear" w:color="auto" w:fill="EAEAEA"/>
              </w:rPr>
            </w:pPr>
            <w:r w:rsidRPr="00605B97">
              <w:rPr>
                <w:rFonts w:ascii="新細明體" w:hAnsi="新細明體" w:cs="Tahoma"/>
                <w:bCs/>
                <w:spacing w:val="15"/>
                <w:szCs w:val="24"/>
              </w:rPr>
              <w:t>班級：</w:t>
            </w:r>
            <w:r w:rsidRPr="00605B97">
              <w:rPr>
                <w:rFonts w:ascii="新細明體" w:hAnsi="新細明體" w:cs="Tahoma" w:hint="eastAsia"/>
                <w:bCs/>
                <w:spacing w:val="15"/>
                <w:szCs w:val="24"/>
                <w:u w:val="single"/>
              </w:rPr>
              <w:t>____</w:t>
            </w:r>
            <w:r w:rsidRPr="00605B97">
              <w:rPr>
                <w:rFonts w:ascii="新細明體" w:hAnsi="新細明體" w:cs="Tahoma" w:hint="eastAsia"/>
                <w:bCs/>
                <w:spacing w:val="15"/>
                <w:szCs w:val="24"/>
              </w:rPr>
              <w:t>年</w:t>
            </w:r>
            <w:r w:rsidRPr="00605B97">
              <w:rPr>
                <w:rFonts w:ascii="新細明體" w:hAnsi="新細明體" w:cs="Tahoma" w:hint="eastAsia"/>
                <w:bCs/>
                <w:spacing w:val="15"/>
                <w:szCs w:val="24"/>
                <w:u w:val="single"/>
              </w:rPr>
              <w:t>____</w:t>
            </w:r>
            <w:r w:rsidRPr="00605B97">
              <w:rPr>
                <w:rFonts w:ascii="新細明體" w:hAnsi="新細明體" w:cs="Tahoma" w:hint="eastAsia"/>
                <w:bCs/>
                <w:spacing w:val="15"/>
                <w:szCs w:val="24"/>
              </w:rPr>
              <w:t>班                          組別：</w:t>
            </w:r>
            <w:r w:rsidRPr="00605B97">
              <w:rPr>
                <w:rFonts w:ascii="新細明體" w:hAnsi="新細明體" w:cs="Tahoma" w:hint="eastAsia"/>
                <w:bCs/>
                <w:spacing w:val="15"/>
                <w:szCs w:val="24"/>
                <w:u w:val="single"/>
              </w:rPr>
              <w:t>____________</w:t>
            </w:r>
          </w:p>
        </w:tc>
      </w:tr>
      <w:tr w:rsidR="00006E03" w:rsidRPr="00605B97" w:rsidTr="007E1DBC">
        <w:tc>
          <w:tcPr>
            <w:tcW w:w="9216" w:type="dxa"/>
            <w:shd w:val="clear" w:color="auto" w:fill="auto"/>
          </w:tcPr>
          <w:p w:rsidR="00006E03" w:rsidRPr="00605B97" w:rsidRDefault="00006E03" w:rsidP="007E1DBC">
            <w:pPr>
              <w:snapToGrid w:val="0"/>
              <w:rPr>
                <w:rFonts w:ascii="新細明體" w:hAnsi="新細明體"/>
                <w:sz w:val="32"/>
                <w:szCs w:val="32"/>
              </w:rPr>
            </w:pPr>
            <w:r w:rsidRPr="00605B97">
              <w:rPr>
                <w:rFonts w:ascii="新細明體" w:hAnsi="新細明體" w:cs="Tahoma" w:hint="eastAsia"/>
                <w:bCs/>
                <w:spacing w:val="15"/>
                <w:sz w:val="33"/>
                <w:szCs w:val="33"/>
              </w:rPr>
              <w:t xml:space="preserve">▓ </w:t>
            </w:r>
            <w:r w:rsidRPr="00605B97">
              <w:rPr>
                <w:rFonts w:ascii="新細明體" w:hAnsi="新細明體" w:cs="Tahoma"/>
                <w:bCs/>
                <w:spacing w:val="15"/>
                <w:sz w:val="33"/>
                <w:szCs w:val="33"/>
              </w:rPr>
              <w:t>失智症是什麼</w:t>
            </w:r>
          </w:p>
          <w:p w:rsidR="00006E03" w:rsidRPr="00605B97" w:rsidRDefault="00006E03" w:rsidP="007E1DBC">
            <w:pPr>
              <w:snapToGrid w:val="0"/>
              <w:spacing w:line="360" w:lineRule="auto"/>
              <w:ind w:firstLineChars="200" w:firstLine="600"/>
              <w:rPr>
                <w:rFonts w:ascii="新細明體" w:hAnsi="新細明體" w:cs="Tahoma"/>
                <w:bCs/>
                <w:spacing w:val="15"/>
                <w:sz w:val="33"/>
                <w:szCs w:val="33"/>
              </w:rPr>
            </w:pPr>
            <w:r w:rsidRPr="00605B97">
              <w:rPr>
                <w:rFonts w:ascii="新細明體" w:hAnsi="新細明體" w:cs="Tahoma"/>
                <w:spacing w:val="30"/>
                <w:szCs w:val="24"/>
              </w:rPr>
              <w:t>失智症（Dementia）不是單一項疾病，而是一群症狀的組合(症候群)，它的症狀不單純只有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       )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的減退，還會影響到其他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  )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功能，包括有語言能力、空間感、計算力、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    )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力、抽象思考能力、注意力等各方面的功能退化，同時可能出現干擾行為、個性改變、妄想或幻覺等症狀，這些症狀的嚴重程度足以影響其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  )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關係與工作能力。</w:t>
            </w:r>
          </w:p>
        </w:tc>
      </w:tr>
      <w:tr w:rsidR="00006E03" w:rsidRPr="00605B97" w:rsidTr="007E1DBC">
        <w:tc>
          <w:tcPr>
            <w:tcW w:w="9216" w:type="dxa"/>
            <w:shd w:val="clear" w:color="auto" w:fill="auto"/>
          </w:tcPr>
          <w:p w:rsidR="00006E03" w:rsidRPr="00605B97" w:rsidRDefault="00006E03" w:rsidP="007E1DBC">
            <w:pPr>
              <w:snapToGrid w:val="0"/>
              <w:spacing w:beforeLines="50" w:before="180" w:line="360" w:lineRule="auto"/>
              <w:rPr>
                <w:rFonts w:ascii="新細明體" w:hAnsi="新細明體" w:cs="Tahoma"/>
                <w:bCs/>
                <w:spacing w:val="15"/>
                <w:sz w:val="33"/>
                <w:szCs w:val="33"/>
              </w:rPr>
            </w:pPr>
            <w:r w:rsidRPr="00605B97">
              <w:rPr>
                <w:rFonts w:ascii="新細明體" w:hAnsi="新細明體" w:cs="Tahoma" w:hint="eastAsia"/>
                <w:bCs/>
                <w:spacing w:val="15"/>
                <w:sz w:val="33"/>
                <w:szCs w:val="33"/>
              </w:rPr>
              <w:t>二、</w:t>
            </w:r>
            <w:r w:rsidRPr="00605B97">
              <w:rPr>
                <w:rFonts w:ascii="新細明體" w:hAnsi="新細明體" w:cs="Tahoma"/>
                <w:bCs/>
                <w:spacing w:val="15"/>
                <w:sz w:val="33"/>
                <w:szCs w:val="33"/>
              </w:rPr>
              <w:t>早期症狀</w:t>
            </w:r>
            <w:r w:rsidRPr="00605B97">
              <w:rPr>
                <w:rFonts w:ascii="新細明體" w:hAnsi="新細明體" w:cs="Tahoma" w:hint="eastAsia"/>
                <w:bCs/>
                <w:spacing w:val="15"/>
                <w:sz w:val="33"/>
                <w:szCs w:val="33"/>
              </w:rPr>
              <w:t>(十大警訊)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(1)記憶力(         )影響到生活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(2)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ab/>
              <w:t>計劃事情或解決問題有困難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(3)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ab/>
              <w:t>無法勝任原本(         )的事務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 xml:space="preserve"> 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(4)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ab/>
              <w:t>對(         )地點感到混淆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 xml:space="preserve"> 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596E34B" wp14:editId="689AAD8E">
                  <wp:simplePos x="0" y="0"/>
                  <wp:positionH relativeFrom="column">
                    <wp:posOffset>3646805</wp:posOffset>
                  </wp:positionH>
                  <wp:positionV relativeFrom="paragraph">
                    <wp:posOffset>135255</wp:posOffset>
                  </wp:positionV>
                  <wp:extent cx="1976120" cy="3389630"/>
                  <wp:effectExtent l="0" t="0" r="5080" b="1270"/>
                  <wp:wrapNone/>
                  <wp:docPr id="2" name="圖片 1" descr="描述: http://tw1.gigacircle.com/media/537dea334e95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 descr="描述: http://tw1.gigacircle.com/media/537dea334e95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120" cy="3389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(5)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ab/>
              <w:t>有困難理解視覺影像和空間之關係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(6)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ab/>
              <w:t>言語表達或(         )出現困難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(7)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ab/>
              <w:t>東西擺放錯亂且失去回頭尋找的能力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(8)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ab/>
              <w:t>判斷力變差或減弱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(9)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ab/>
              <w:t>從職場或(         )活動中退出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(10)情緒和個性的(         )</w:t>
            </w:r>
          </w:p>
        </w:tc>
      </w:tr>
      <w:tr w:rsidR="00006E03" w:rsidRPr="00605B97" w:rsidTr="007E1DBC">
        <w:tc>
          <w:tcPr>
            <w:tcW w:w="9216" w:type="dxa"/>
            <w:shd w:val="clear" w:color="auto" w:fill="auto"/>
          </w:tcPr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bCs/>
                <w:spacing w:val="15"/>
                <w:sz w:val="33"/>
                <w:szCs w:val="33"/>
              </w:rPr>
            </w:pPr>
            <w:r w:rsidRPr="00605B97">
              <w:rPr>
                <w:rFonts w:ascii="新細明體" w:hAnsi="新細明體" w:cs="Tahoma" w:hint="eastAsia"/>
                <w:bCs/>
                <w:spacing w:val="15"/>
                <w:sz w:val="33"/>
                <w:szCs w:val="33"/>
              </w:rPr>
              <w:t>三、如何預防失智症?</w:t>
            </w:r>
          </w:p>
          <w:p w:rsidR="00006E03" w:rsidRPr="00605B97" w:rsidRDefault="00006E03" w:rsidP="007E1DBC">
            <w:pPr>
              <w:snapToGrid w:val="0"/>
              <w:spacing w:line="360" w:lineRule="auto"/>
              <w:jc w:val="center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標楷體" w:eastAsia="標楷體" w:hAnsi="標楷體" w:cs="Tahoma" w:hint="eastAsia"/>
                <w:spacing w:val="30"/>
                <w:szCs w:val="24"/>
              </w:rPr>
              <w:t>★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 xml:space="preserve"> 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多動腦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 xml:space="preserve"> </w:t>
            </w:r>
            <w:r w:rsidRPr="00605B97">
              <w:rPr>
                <w:rFonts w:ascii="標楷體" w:eastAsia="標楷體" w:hAnsi="標楷體" w:cs="Tahoma" w:hint="eastAsia"/>
                <w:spacing w:val="30"/>
                <w:szCs w:val="24"/>
              </w:rPr>
              <w:t>★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/>
                <w:spacing w:val="30"/>
                <w:szCs w:val="24"/>
              </w:rPr>
              <w:t>1.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 xml:space="preserve"> 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多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         )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 xml:space="preserve">2. 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採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(         )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型飲食</w:t>
            </w:r>
          </w:p>
          <w:p w:rsidR="00006E03" w:rsidRPr="00605B97" w:rsidRDefault="00006E03" w:rsidP="007E1DBC">
            <w:pPr>
              <w:snapToGrid w:val="0"/>
              <w:spacing w:line="360" w:lineRule="auto"/>
              <w:jc w:val="center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標楷體" w:eastAsia="標楷體" w:hAnsi="標楷體" w:cs="Tahoma" w:hint="eastAsia"/>
                <w:spacing w:val="30"/>
                <w:szCs w:val="24"/>
              </w:rPr>
              <w:t xml:space="preserve">★ 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多社會互動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 xml:space="preserve"> </w:t>
            </w:r>
            <w:r w:rsidRPr="00605B97">
              <w:rPr>
                <w:rFonts w:ascii="標楷體" w:eastAsia="標楷體" w:hAnsi="標楷體" w:cs="Tahoma" w:hint="eastAsia"/>
                <w:spacing w:val="30"/>
                <w:szCs w:val="24"/>
              </w:rPr>
              <w:t>★</w:t>
            </w:r>
          </w:p>
          <w:p w:rsidR="00006E03" w:rsidRPr="00605B97" w:rsidRDefault="00006E03" w:rsidP="007E1DBC">
            <w:pPr>
              <w:snapToGrid w:val="0"/>
              <w:spacing w:line="360" w:lineRule="auto"/>
              <w:rPr>
                <w:rFonts w:ascii="新細明體" w:hAnsi="新細明體" w:cs="Tahoma"/>
                <w:spacing w:val="30"/>
                <w:szCs w:val="24"/>
              </w:rPr>
            </w:pP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 xml:space="preserve">3. </w:t>
            </w:r>
            <w:r w:rsidRPr="00605B97">
              <w:rPr>
                <w:rFonts w:ascii="新細明體" w:hAnsi="新細明體" w:cs="Tahoma"/>
                <w:spacing w:val="30"/>
                <w:szCs w:val="24"/>
              </w:rPr>
              <w:t>維持健康</w:t>
            </w:r>
            <w:r w:rsidRPr="00605B97">
              <w:rPr>
                <w:rFonts w:ascii="新細明體" w:hAnsi="新細明體" w:cs="Tahoma" w:hint="eastAsia"/>
                <w:spacing w:val="30"/>
                <w:szCs w:val="24"/>
              </w:rPr>
              <w:t>的(            )</w:t>
            </w:r>
          </w:p>
        </w:tc>
      </w:tr>
    </w:tbl>
    <w:p w:rsidR="00006E03" w:rsidRPr="00605B97" w:rsidRDefault="00006E03" w:rsidP="00006E03">
      <w:pPr>
        <w:snapToGrid w:val="0"/>
        <w:rPr>
          <w:rFonts w:ascii="新細明體" w:hAnsi="新細明體"/>
          <w:szCs w:val="24"/>
        </w:rPr>
      </w:pPr>
    </w:p>
    <w:p w:rsidR="007B622A" w:rsidRDefault="00006E03">
      <w:bookmarkStart w:id="0" w:name="_GoBack"/>
      <w:bookmarkEnd w:id="0"/>
    </w:p>
    <w:sectPr w:rsidR="007B62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03"/>
    <w:rsid w:val="00006E03"/>
    <w:rsid w:val="00350D97"/>
    <w:rsid w:val="0070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25CF9-1160-45E2-A5BA-3E6CB17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E0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2016-11-25T00:11:00Z</dcterms:created>
  <dcterms:modified xsi:type="dcterms:W3CDTF">2016-11-25T00:12:00Z</dcterms:modified>
</cp:coreProperties>
</file>