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Alignment Fixture</w:t>
      </w:r>
    </w:p>
    <w:p>
      <w:pPr>
        <w:jc w:val="left"/>
      </w:pPr>
      <w:r>
        <w:t xml:space="preserve">This paragraph is left aligned. This paragraph is left aligned. This paragraph is left aligned. </w:t>
      </w:r>
    </w:p>
    <w:p>
      <w:pPr>
        <w:jc w:val="center"/>
      </w:pPr>
      <w:r>
        <w:t xml:space="preserve">This paragraph is center aligned. This paragraph is center aligned. This paragraph is center aligned. </w:t>
      </w:r>
    </w:p>
    <w:p>
      <w:pPr>
        <w:jc w:val="right"/>
      </w:pPr>
      <w:r>
        <w:t xml:space="preserve">This paragraph is right aligned. This paragraph is right aligned. This paragraph is right aligned. </w:t>
      </w:r>
    </w:p>
    <w:p>
      <w:pPr>
        <w:jc w:val="both"/>
      </w:pPr>
      <w:r>
        <w:t xml:space="preserve">This paragraph is justified. It contains enough text to wrap across multiple lines so that the justification effect — even spacing between words to fill the line width — is clearly visible on both the left and right margins.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2026-07-27T04:30:07.110Z</dcterms:created>
  <dcterms:modified xsi:type="dcterms:W3CDTF">2026-07-27T04:30:07.110Z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