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E9A7" w14:textId="03EE62C9" w:rsidR="00C81914" w:rsidRDefault="00C81914" w:rsidP="00C81914">
      <w:pPr>
        <w:pStyle w:val="Title"/>
        <w:jc w:val="center"/>
        <w:rPr>
          <w:rFonts w:ascii="Times New Roman" w:hAnsi="Times New Roman" w:cs="Times New Roman"/>
          <w:b/>
          <w:bCs/>
          <w:lang w:val="fr-FR"/>
        </w:rPr>
      </w:pPr>
      <w:r w:rsidRPr="00C81914">
        <w:rPr>
          <w:rFonts w:ascii="Times New Roman" w:hAnsi="Times New Roman" w:cs="Times New Roman"/>
          <w:b/>
          <w:bCs/>
          <w:lang w:val="fr-FR"/>
        </w:rPr>
        <w:t xml:space="preserve">Rapport </w:t>
      </w:r>
      <w:r w:rsidRPr="00C81914">
        <w:rPr>
          <w:rFonts w:ascii="Times New Roman" w:hAnsi="Times New Roman" w:cs="Times New Roman"/>
          <w:b/>
          <w:bCs/>
          <w:lang w:val="fr-FR"/>
        </w:rPr>
        <w:t>d</w:t>
      </w:r>
      <w:r w:rsidRPr="00C81914">
        <w:rPr>
          <w:rFonts w:ascii="Times New Roman" w:hAnsi="Times New Roman" w:cs="Times New Roman"/>
          <w:b/>
          <w:bCs/>
          <w:lang w:val="fr-FR"/>
        </w:rPr>
        <w:t>es établissements d’hébergement touristique</w:t>
      </w:r>
      <w:r>
        <w:rPr>
          <w:rFonts w:ascii="Times New Roman" w:hAnsi="Times New Roman" w:cs="Times New Roman"/>
          <w:b/>
          <w:bCs/>
          <w:lang w:val="fr-FR"/>
        </w:rPr>
        <w:t xml:space="preserve"> 2010</w:t>
      </w:r>
    </w:p>
    <w:p w14:paraId="47B75030" w14:textId="77777777" w:rsidR="00C81914" w:rsidRPr="00C81914" w:rsidRDefault="00C81914" w:rsidP="00C81914">
      <w:pPr>
        <w:rPr>
          <w:lang w:val="fr-FR"/>
        </w:rPr>
      </w:pPr>
    </w:p>
    <w:p w14:paraId="461E0068" w14:textId="080264D6"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Introduction</w:t>
      </w:r>
      <w:r w:rsidRPr="00C81914">
        <w:rPr>
          <w:rFonts w:ascii="Times New Roman" w:hAnsi="Times New Roman" w:cs="Times New Roman"/>
          <w:b/>
          <w:bCs/>
          <w:sz w:val="28"/>
          <w:szCs w:val="28"/>
          <w:lang w:val="fr-FR"/>
        </w:rPr>
        <w:t> </w:t>
      </w:r>
      <w:r w:rsidRPr="00C81914">
        <w:rPr>
          <w:rFonts w:ascii="Times New Roman" w:hAnsi="Times New Roman" w:cs="Times New Roman"/>
          <w:sz w:val="28"/>
          <w:szCs w:val="28"/>
          <w:lang w:val="fr-FR"/>
        </w:rPr>
        <w:t>:</w:t>
      </w:r>
    </w:p>
    <w:p w14:paraId="6C8196F6" w14:textId="1F6A2519" w:rsidR="00C81914" w:rsidRPr="00C81914" w:rsidRDefault="00C81914" w:rsidP="00C81914">
      <w:pPr>
        <w:rPr>
          <w:rFonts w:ascii="Times New Roman" w:hAnsi="Times New Roman" w:cs="Times New Roman"/>
          <w:sz w:val="28"/>
          <w:szCs w:val="28"/>
          <w:lang w:val="fr-FR"/>
        </w:rPr>
      </w:pPr>
      <w:r w:rsidRPr="00C81914">
        <w:rPr>
          <w:rFonts w:ascii="Times New Roman" w:hAnsi="Times New Roman" w:cs="Times New Roman"/>
          <w:sz w:val="28"/>
          <w:szCs w:val="28"/>
          <w:lang w:val="fr-FR"/>
        </w:rPr>
        <w:t>Ce rapport présente une analyse des établissements d’hébergement touristique en fonction de leur classement, de leur localisation par province, et de leurs catégories. Les données proviennent d’une analyse visuelle réalisée avec Power BI, mettant en évidence les caractéristiques des établissements en 2010.</w:t>
      </w:r>
    </w:p>
    <w:p w14:paraId="42895FC4" w14:textId="32E6F6B7" w:rsidR="00C81914" w:rsidRPr="00C81914" w:rsidRDefault="00C81914" w:rsidP="00C81914">
      <w:pPr>
        <w:rPr>
          <w:rFonts w:ascii="Times New Roman" w:hAnsi="Times New Roman" w:cs="Times New Roman"/>
          <w:sz w:val="28"/>
          <w:szCs w:val="28"/>
        </w:rPr>
      </w:pPr>
    </w:p>
    <w:p w14:paraId="2B2BBA8C" w14:textId="4122BE7A"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Analyse des établissements par classement et province</w:t>
      </w:r>
    </w:p>
    <w:p w14:paraId="47A04641" w14:textId="77777777" w:rsidR="00C81914" w:rsidRPr="00C81914" w:rsidRDefault="00C81914" w:rsidP="00C81914">
      <w:pPr>
        <w:rPr>
          <w:rFonts w:ascii="Times New Roman" w:hAnsi="Times New Roman" w:cs="Times New Roman"/>
          <w:sz w:val="28"/>
          <w:szCs w:val="28"/>
          <w:lang w:val="fr-FR"/>
        </w:rPr>
      </w:pPr>
      <w:r w:rsidRPr="00C81914">
        <w:rPr>
          <w:rFonts w:ascii="Times New Roman" w:hAnsi="Times New Roman" w:cs="Times New Roman"/>
          <w:sz w:val="28"/>
          <w:szCs w:val="28"/>
          <w:lang w:val="fr-FR"/>
        </w:rPr>
        <w:t>Un graphique en barres présente la répartition des établissements selon leur classement (étoiles) et leur localisation dans différentes provinces.</w:t>
      </w:r>
    </w:p>
    <w:p w14:paraId="6AB40AB2" w14:textId="77777777" w:rsidR="00C81914" w:rsidRPr="00C81914" w:rsidRDefault="00C81914" w:rsidP="00C81914">
      <w:pPr>
        <w:numPr>
          <w:ilvl w:val="0"/>
          <w:numId w:val="1"/>
        </w:numPr>
        <w:rPr>
          <w:rFonts w:ascii="Times New Roman" w:hAnsi="Times New Roman" w:cs="Times New Roman"/>
          <w:sz w:val="28"/>
          <w:szCs w:val="28"/>
        </w:rPr>
      </w:pPr>
      <w:r w:rsidRPr="00C81914">
        <w:rPr>
          <w:rFonts w:ascii="Times New Roman" w:hAnsi="Times New Roman" w:cs="Times New Roman"/>
          <w:b/>
          <w:bCs/>
          <w:sz w:val="28"/>
          <w:szCs w:val="28"/>
        </w:rPr>
        <w:t xml:space="preserve">5 </w:t>
      </w:r>
      <w:proofErr w:type="gramStart"/>
      <w:r w:rsidRPr="00C81914">
        <w:rPr>
          <w:rFonts w:ascii="Times New Roman" w:hAnsi="Times New Roman" w:cs="Times New Roman"/>
          <w:b/>
          <w:bCs/>
          <w:sz w:val="28"/>
          <w:szCs w:val="28"/>
        </w:rPr>
        <w:t>étoiles</w:t>
      </w:r>
      <w:r w:rsidRPr="00C81914">
        <w:rPr>
          <w:rFonts w:ascii="Times New Roman" w:hAnsi="Times New Roman" w:cs="Times New Roman"/>
          <w:sz w:val="28"/>
          <w:szCs w:val="28"/>
        </w:rPr>
        <w:t xml:space="preserve"> :</w:t>
      </w:r>
      <w:proofErr w:type="gramEnd"/>
    </w:p>
    <w:p w14:paraId="180B3BC3" w14:textId="77777777" w:rsidR="00C81914" w:rsidRPr="00C81914" w:rsidRDefault="00C81914" w:rsidP="00C81914">
      <w:pPr>
        <w:numPr>
          <w:ilvl w:val="1"/>
          <w:numId w:val="1"/>
        </w:numPr>
        <w:rPr>
          <w:rFonts w:ascii="Times New Roman" w:hAnsi="Times New Roman" w:cs="Times New Roman"/>
          <w:sz w:val="28"/>
          <w:szCs w:val="28"/>
          <w:lang w:val="fr-FR"/>
        </w:rPr>
      </w:pPr>
      <w:r w:rsidRPr="00C81914">
        <w:rPr>
          <w:rFonts w:ascii="Times New Roman" w:hAnsi="Times New Roman" w:cs="Times New Roman"/>
          <w:sz w:val="28"/>
          <w:szCs w:val="28"/>
          <w:lang w:val="fr-FR"/>
        </w:rPr>
        <w:t>La majorité des établissements de cette classe sont concentrés dans les grandes provinces touristiques comme Marrakech et Casablanca.</w:t>
      </w:r>
    </w:p>
    <w:p w14:paraId="02006D4D" w14:textId="77777777" w:rsidR="00C81914" w:rsidRPr="00C81914" w:rsidRDefault="00C81914" w:rsidP="00C81914">
      <w:pPr>
        <w:numPr>
          <w:ilvl w:val="0"/>
          <w:numId w:val="1"/>
        </w:numPr>
        <w:rPr>
          <w:rFonts w:ascii="Times New Roman" w:hAnsi="Times New Roman" w:cs="Times New Roman"/>
          <w:sz w:val="28"/>
          <w:szCs w:val="28"/>
        </w:rPr>
      </w:pPr>
      <w:r w:rsidRPr="00C81914">
        <w:rPr>
          <w:rFonts w:ascii="Times New Roman" w:hAnsi="Times New Roman" w:cs="Times New Roman"/>
          <w:b/>
          <w:bCs/>
          <w:sz w:val="28"/>
          <w:szCs w:val="28"/>
        </w:rPr>
        <w:t xml:space="preserve">4 </w:t>
      </w:r>
      <w:proofErr w:type="gramStart"/>
      <w:r w:rsidRPr="00C81914">
        <w:rPr>
          <w:rFonts w:ascii="Times New Roman" w:hAnsi="Times New Roman" w:cs="Times New Roman"/>
          <w:b/>
          <w:bCs/>
          <w:sz w:val="28"/>
          <w:szCs w:val="28"/>
        </w:rPr>
        <w:t>étoiles</w:t>
      </w:r>
      <w:r w:rsidRPr="00C81914">
        <w:rPr>
          <w:rFonts w:ascii="Times New Roman" w:hAnsi="Times New Roman" w:cs="Times New Roman"/>
          <w:sz w:val="28"/>
          <w:szCs w:val="28"/>
        </w:rPr>
        <w:t xml:space="preserve"> :</w:t>
      </w:r>
      <w:proofErr w:type="gramEnd"/>
    </w:p>
    <w:p w14:paraId="656DE50F" w14:textId="77777777" w:rsidR="00C81914" w:rsidRPr="00C81914" w:rsidRDefault="00C81914" w:rsidP="00C81914">
      <w:pPr>
        <w:numPr>
          <w:ilvl w:val="1"/>
          <w:numId w:val="1"/>
        </w:numPr>
        <w:rPr>
          <w:rFonts w:ascii="Times New Roman" w:hAnsi="Times New Roman" w:cs="Times New Roman"/>
          <w:sz w:val="28"/>
          <w:szCs w:val="28"/>
          <w:lang w:val="fr-FR"/>
        </w:rPr>
      </w:pPr>
      <w:r w:rsidRPr="00C81914">
        <w:rPr>
          <w:rFonts w:ascii="Times New Roman" w:hAnsi="Times New Roman" w:cs="Times New Roman"/>
          <w:sz w:val="28"/>
          <w:szCs w:val="28"/>
          <w:lang w:val="fr-FR"/>
        </w:rPr>
        <w:t>Ces établissements sont répartis plus également, avec une présence notable à Fès et Agadir.</w:t>
      </w:r>
    </w:p>
    <w:p w14:paraId="43F9523C" w14:textId="77777777" w:rsidR="00C81914" w:rsidRPr="00C81914" w:rsidRDefault="00C81914" w:rsidP="00C81914">
      <w:pPr>
        <w:numPr>
          <w:ilvl w:val="0"/>
          <w:numId w:val="1"/>
        </w:numPr>
        <w:rPr>
          <w:rFonts w:ascii="Times New Roman" w:hAnsi="Times New Roman" w:cs="Times New Roman"/>
          <w:sz w:val="28"/>
          <w:szCs w:val="28"/>
        </w:rPr>
      </w:pPr>
      <w:r w:rsidRPr="00C81914">
        <w:rPr>
          <w:rFonts w:ascii="Times New Roman" w:hAnsi="Times New Roman" w:cs="Times New Roman"/>
          <w:b/>
          <w:bCs/>
          <w:sz w:val="28"/>
          <w:szCs w:val="28"/>
        </w:rPr>
        <w:t xml:space="preserve">1 à 3 </w:t>
      </w:r>
      <w:proofErr w:type="gramStart"/>
      <w:r w:rsidRPr="00C81914">
        <w:rPr>
          <w:rFonts w:ascii="Times New Roman" w:hAnsi="Times New Roman" w:cs="Times New Roman"/>
          <w:b/>
          <w:bCs/>
          <w:sz w:val="28"/>
          <w:szCs w:val="28"/>
        </w:rPr>
        <w:t>étoiles</w:t>
      </w:r>
      <w:r w:rsidRPr="00C81914">
        <w:rPr>
          <w:rFonts w:ascii="Times New Roman" w:hAnsi="Times New Roman" w:cs="Times New Roman"/>
          <w:sz w:val="28"/>
          <w:szCs w:val="28"/>
        </w:rPr>
        <w:t xml:space="preserve"> :</w:t>
      </w:r>
      <w:proofErr w:type="gramEnd"/>
    </w:p>
    <w:p w14:paraId="4ED493D9" w14:textId="77777777" w:rsidR="00C81914" w:rsidRPr="00C81914" w:rsidRDefault="00C81914" w:rsidP="00C81914">
      <w:pPr>
        <w:numPr>
          <w:ilvl w:val="1"/>
          <w:numId w:val="1"/>
        </w:numPr>
        <w:rPr>
          <w:rFonts w:ascii="Times New Roman" w:hAnsi="Times New Roman" w:cs="Times New Roman"/>
          <w:sz w:val="28"/>
          <w:szCs w:val="28"/>
          <w:lang w:val="fr-FR"/>
        </w:rPr>
      </w:pPr>
      <w:r w:rsidRPr="00C81914">
        <w:rPr>
          <w:rFonts w:ascii="Times New Roman" w:hAnsi="Times New Roman" w:cs="Times New Roman"/>
          <w:sz w:val="28"/>
          <w:szCs w:val="28"/>
          <w:lang w:val="fr-FR"/>
        </w:rPr>
        <w:t>Ces catégories incluent souvent des hébergements à petit budget, présents dans des régions moins touristiques comme Errachidia ou Zagora.</w:t>
      </w:r>
    </w:p>
    <w:p w14:paraId="4C38D3AF" w14:textId="21F64271" w:rsidR="00C81914" w:rsidRPr="00C81914" w:rsidRDefault="00C81914" w:rsidP="00C81914">
      <w:pPr>
        <w:rPr>
          <w:rFonts w:ascii="Times New Roman" w:hAnsi="Times New Roman" w:cs="Times New Roman"/>
          <w:sz w:val="28"/>
          <w:szCs w:val="28"/>
        </w:rPr>
      </w:pPr>
    </w:p>
    <w:p w14:paraId="3B1DB0F9" w14:textId="69217431"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Proportions des établissements par catégorie</w:t>
      </w:r>
    </w:p>
    <w:p w14:paraId="7D1B1679" w14:textId="77777777" w:rsidR="00C81914" w:rsidRPr="00C81914" w:rsidRDefault="00C81914" w:rsidP="00C81914">
      <w:pPr>
        <w:rPr>
          <w:rFonts w:ascii="Times New Roman" w:hAnsi="Times New Roman" w:cs="Times New Roman"/>
          <w:sz w:val="28"/>
          <w:szCs w:val="28"/>
          <w:lang w:val="fr-FR"/>
        </w:rPr>
      </w:pPr>
      <w:r w:rsidRPr="00C81914">
        <w:rPr>
          <w:rFonts w:ascii="Times New Roman" w:hAnsi="Times New Roman" w:cs="Times New Roman"/>
          <w:sz w:val="28"/>
          <w:szCs w:val="28"/>
          <w:lang w:val="fr-FR"/>
        </w:rPr>
        <w:t>Un diagramme circulaire montre la proportion des catégories principales dans chaque classement :</w:t>
      </w:r>
    </w:p>
    <w:p w14:paraId="133A0DE1" w14:textId="77777777" w:rsidR="00C81914" w:rsidRPr="00C81914" w:rsidRDefault="00C81914" w:rsidP="00C81914">
      <w:pPr>
        <w:numPr>
          <w:ilvl w:val="0"/>
          <w:numId w:val="2"/>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Hôtels clubs</w:t>
      </w:r>
      <w:r w:rsidRPr="00C81914">
        <w:rPr>
          <w:rFonts w:ascii="Times New Roman" w:hAnsi="Times New Roman" w:cs="Times New Roman"/>
          <w:sz w:val="28"/>
          <w:szCs w:val="28"/>
          <w:lang w:val="fr-FR"/>
        </w:rPr>
        <w:t xml:space="preserve"> : 65,48 % des établissements appartiennent à cette catégorie, principalement dans la classe 5 étoiles.</w:t>
      </w:r>
    </w:p>
    <w:p w14:paraId="35333633" w14:textId="77777777" w:rsidR="00C81914" w:rsidRPr="00C81914" w:rsidRDefault="00C81914" w:rsidP="00C81914">
      <w:pPr>
        <w:numPr>
          <w:ilvl w:val="0"/>
          <w:numId w:val="2"/>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lastRenderedPageBreak/>
        <w:t>Maisons d’hôtes</w:t>
      </w:r>
      <w:r w:rsidRPr="00C81914">
        <w:rPr>
          <w:rFonts w:ascii="Times New Roman" w:hAnsi="Times New Roman" w:cs="Times New Roman"/>
          <w:sz w:val="28"/>
          <w:szCs w:val="28"/>
          <w:lang w:val="fr-FR"/>
        </w:rPr>
        <w:t xml:space="preserve"> : Représentant 13,83 %, elles sont présentes surtout dans les catégories 3 et 4 étoiles.</w:t>
      </w:r>
    </w:p>
    <w:p w14:paraId="08B3049E" w14:textId="77777777" w:rsidR="00C81914" w:rsidRPr="00C81914" w:rsidRDefault="00C81914" w:rsidP="00C81914">
      <w:pPr>
        <w:numPr>
          <w:ilvl w:val="0"/>
          <w:numId w:val="2"/>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Auberges et pensions</w:t>
      </w:r>
      <w:r w:rsidRPr="00C81914">
        <w:rPr>
          <w:rFonts w:ascii="Times New Roman" w:hAnsi="Times New Roman" w:cs="Times New Roman"/>
          <w:sz w:val="28"/>
          <w:szCs w:val="28"/>
          <w:lang w:val="fr-FR"/>
        </w:rPr>
        <w:t xml:space="preserve"> : Ensemble, elles composent environ 12 % des établissements, se concentrant dans les catégories à petit budget (1 à 2 étoiles).</w:t>
      </w:r>
    </w:p>
    <w:p w14:paraId="56C4DCD1" w14:textId="6A7B9454" w:rsidR="00C81914" w:rsidRPr="00C81914" w:rsidRDefault="00C81914" w:rsidP="00C81914">
      <w:pPr>
        <w:rPr>
          <w:rFonts w:ascii="Times New Roman" w:hAnsi="Times New Roman" w:cs="Times New Roman"/>
          <w:sz w:val="28"/>
          <w:szCs w:val="28"/>
        </w:rPr>
      </w:pPr>
    </w:p>
    <w:p w14:paraId="59581956" w14:textId="4A4A96ED"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Nombre total d’établissements par province</w:t>
      </w:r>
    </w:p>
    <w:p w14:paraId="23D0E929" w14:textId="77777777" w:rsidR="00C81914" w:rsidRPr="00C81914" w:rsidRDefault="00C81914" w:rsidP="00C81914">
      <w:pPr>
        <w:rPr>
          <w:rFonts w:ascii="Times New Roman" w:hAnsi="Times New Roman" w:cs="Times New Roman"/>
          <w:sz w:val="28"/>
          <w:szCs w:val="28"/>
        </w:rPr>
      </w:pPr>
      <w:r w:rsidRPr="00C81914">
        <w:rPr>
          <w:rFonts w:ascii="Times New Roman" w:hAnsi="Times New Roman" w:cs="Times New Roman"/>
          <w:sz w:val="28"/>
          <w:szCs w:val="28"/>
          <w:lang w:val="fr-FR"/>
        </w:rPr>
        <w:t xml:space="preserve">Un tableau indique le nombre total d’établissements dans chaque province. </w:t>
      </w:r>
      <w:r w:rsidRPr="00C81914">
        <w:rPr>
          <w:rFonts w:ascii="Times New Roman" w:hAnsi="Times New Roman" w:cs="Times New Roman"/>
          <w:sz w:val="28"/>
          <w:szCs w:val="28"/>
        </w:rPr>
        <w:t xml:space="preserve">Les </w:t>
      </w:r>
      <w:proofErr w:type="spellStart"/>
      <w:r w:rsidRPr="00C81914">
        <w:rPr>
          <w:rFonts w:ascii="Times New Roman" w:hAnsi="Times New Roman" w:cs="Times New Roman"/>
          <w:sz w:val="28"/>
          <w:szCs w:val="28"/>
        </w:rPr>
        <w:t>résultats</w:t>
      </w:r>
      <w:proofErr w:type="spellEnd"/>
      <w:r w:rsidRPr="00C81914">
        <w:rPr>
          <w:rFonts w:ascii="Times New Roman" w:hAnsi="Times New Roman" w:cs="Times New Roman"/>
          <w:sz w:val="28"/>
          <w:szCs w:val="28"/>
        </w:rPr>
        <w:t xml:space="preserve"> </w:t>
      </w:r>
      <w:proofErr w:type="spellStart"/>
      <w:r w:rsidRPr="00C81914">
        <w:rPr>
          <w:rFonts w:ascii="Times New Roman" w:hAnsi="Times New Roman" w:cs="Times New Roman"/>
          <w:sz w:val="28"/>
          <w:szCs w:val="28"/>
        </w:rPr>
        <w:t>clés</w:t>
      </w:r>
      <w:proofErr w:type="spellEnd"/>
      <w:r w:rsidRPr="00C81914">
        <w:rPr>
          <w:rFonts w:ascii="Times New Roman" w:hAnsi="Times New Roman" w:cs="Times New Roman"/>
          <w:sz w:val="28"/>
          <w:szCs w:val="28"/>
        </w:rPr>
        <w:t xml:space="preserve"> </w:t>
      </w:r>
      <w:proofErr w:type="spellStart"/>
      <w:proofErr w:type="gramStart"/>
      <w:r w:rsidRPr="00C81914">
        <w:rPr>
          <w:rFonts w:ascii="Times New Roman" w:hAnsi="Times New Roman" w:cs="Times New Roman"/>
          <w:sz w:val="28"/>
          <w:szCs w:val="28"/>
        </w:rPr>
        <w:t>sont</w:t>
      </w:r>
      <w:proofErr w:type="spellEnd"/>
      <w:r w:rsidRPr="00C81914">
        <w:rPr>
          <w:rFonts w:ascii="Times New Roman" w:hAnsi="Times New Roman" w:cs="Times New Roman"/>
          <w:sz w:val="28"/>
          <w:szCs w:val="28"/>
        </w:rPr>
        <w:t xml:space="preserve"> :</w:t>
      </w:r>
      <w:proofErr w:type="gramEnd"/>
    </w:p>
    <w:p w14:paraId="208D9978" w14:textId="77777777" w:rsidR="00C81914" w:rsidRPr="00C81914" w:rsidRDefault="00C81914" w:rsidP="00C81914">
      <w:pPr>
        <w:numPr>
          <w:ilvl w:val="0"/>
          <w:numId w:val="3"/>
        </w:numPr>
        <w:rPr>
          <w:rFonts w:ascii="Times New Roman" w:hAnsi="Times New Roman" w:cs="Times New Roman"/>
          <w:sz w:val="28"/>
          <w:szCs w:val="28"/>
        </w:rPr>
      </w:pPr>
      <w:proofErr w:type="gramStart"/>
      <w:r w:rsidRPr="00C81914">
        <w:rPr>
          <w:rFonts w:ascii="Times New Roman" w:hAnsi="Times New Roman" w:cs="Times New Roman"/>
          <w:b/>
          <w:bCs/>
          <w:sz w:val="28"/>
          <w:szCs w:val="28"/>
        </w:rPr>
        <w:t>Marrakech</w:t>
      </w:r>
      <w:r w:rsidRPr="00C81914">
        <w:rPr>
          <w:rFonts w:ascii="Times New Roman" w:hAnsi="Times New Roman" w:cs="Times New Roman"/>
          <w:sz w:val="28"/>
          <w:szCs w:val="28"/>
        </w:rPr>
        <w:t xml:space="preserve"> :</w:t>
      </w:r>
      <w:proofErr w:type="gramEnd"/>
      <w:r w:rsidRPr="00C81914">
        <w:rPr>
          <w:rFonts w:ascii="Times New Roman" w:hAnsi="Times New Roman" w:cs="Times New Roman"/>
          <w:sz w:val="28"/>
          <w:szCs w:val="28"/>
        </w:rPr>
        <w:t xml:space="preserve"> 378 </w:t>
      </w:r>
      <w:proofErr w:type="spellStart"/>
      <w:r w:rsidRPr="00C81914">
        <w:rPr>
          <w:rFonts w:ascii="Times New Roman" w:hAnsi="Times New Roman" w:cs="Times New Roman"/>
          <w:sz w:val="28"/>
          <w:szCs w:val="28"/>
        </w:rPr>
        <w:t>établissements</w:t>
      </w:r>
      <w:proofErr w:type="spellEnd"/>
      <w:r w:rsidRPr="00C81914">
        <w:rPr>
          <w:rFonts w:ascii="Times New Roman" w:hAnsi="Times New Roman" w:cs="Times New Roman"/>
          <w:sz w:val="28"/>
          <w:szCs w:val="28"/>
        </w:rPr>
        <w:t xml:space="preserve"> (47,97 % du total).</w:t>
      </w:r>
    </w:p>
    <w:p w14:paraId="734566AF" w14:textId="77777777" w:rsidR="00C81914" w:rsidRPr="00C81914" w:rsidRDefault="00C81914" w:rsidP="00C81914">
      <w:pPr>
        <w:numPr>
          <w:ilvl w:val="0"/>
          <w:numId w:val="3"/>
        </w:numPr>
        <w:rPr>
          <w:rFonts w:ascii="Times New Roman" w:hAnsi="Times New Roman" w:cs="Times New Roman"/>
          <w:sz w:val="28"/>
          <w:szCs w:val="28"/>
        </w:rPr>
      </w:pPr>
      <w:proofErr w:type="spellStart"/>
      <w:proofErr w:type="gramStart"/>
      <w:r w:rsidRPr="00C81914">
        <w:rPr>
          <w:rFonts w:ascii="Times New Roman" w:hAnsi="Times New Roman" w:cs="Times New Roman"/>
          <w:b/>
          <w:bCs/>
          <w:sz w:val="28"/>
          <w:szCs w:val="28"/>
        </w:rPr>
        <w:t>Fès</w:t>
      </w:r>
      <w:proofErr w:type="spellEnd"/>
      <w:r w:rsidRPr="00C81914">
        <w:rPr>
          <w:rFonts w:ascii="Times New Roman" w:hAnsi="Times New Roman" w:cs="Times New Roman"/>
          <w:sz w:val="28"/>
          <w:szCs w:val="28"/>
        </w:rPr>
        <w:t xml:space="preserve"> :</w:t>
      </w:r>
      <w:proofErr w:type="gramEnd"/>
      <w:r w:rsidRPr="00C81914">
        <w:rPr>
          <w:rFonts w:ascii="Times New Roman" w:hAnsi="Times New Roman" w:cs="Times New Roman"/>
          <w:sz w:val="28"/>
          <w:szCs w:val="28"/>
        </w:rPr>
        <w:t xml:space="preserve"> 64 </w:t>
      </w:r>
      <w:proofErr w:type="spellStart"/>
      <w:r w:rsidRPr="00C81914">
        <w:rPr>
          <w:rFonts w:ascii="Times New Roman" w:hAnsi="Times New Roman" w:cs="Times New Roman"/>
          <w:sz w:val="28"/>
          <w:szCs w:val="28"/>
        </w:rPr>
        <w:t>établissements</w:t>
      </w:r>
      <w:proofErr w:type="spellEnd"/>
      <w:r w:rsidRPr="00C81914">
        <w:rPr>
          <w:rFonts w:ascii="Times New Roman" w:hAnsi="Times New Roman" w:cs="Times New Roman"/>
          <w:sz w:val="28"/>
          <w:szCs w:val="28"/>
        </w:rPr>
        <w:t xml:space="preserve"> (8,12 %).</w:t>
      </w:r>
    </w:p>
    <w:p w14:paraId="48813C76" w14:textId="77777777" w:rsidR="00C81914" w:rsidRPr="00C81914" w:rsidRDefault="00C81914" w:rsidP="00C81914">
      <w:pPr>
        <w:numPr>
          <w:ilvl w:val="0"/>
          <w:numId w:val="3"/>
        </w:numPr>
        <w:rPr>
          <w:rFonts w:ascii="Times New Roman" w:hAnsi="Times New Roman" w:cs="Times New Roman"/>
          <w:sz w:val="28"/>
          <w:szCs w:val="28"/>
        </w:rPr>
      </w:pPr>
      <w:proofErr w:type="gramStart"/>
      <w:r w:rsidRPr="00C81914">
        <w:rPr>
          <w:rFonts w:ascii="Times New Roman" w:hAnsi="Times New Roman" w:cs="Times New Roman"/>
          <w:b/>
          <w:bCs/>
          <w:sz w:val="28"/>
          <w:szCs w:val="28"/>
        </w:rPr>
        <w:t>Agadir</w:t>
      </w:r>
      <w:r w:rsidRPr="00C81914">
        <w:rPr>
          <w:rFonts w:ascii="Times New Roman" w:hAnsi="Times New Roman" w:cs="Times New Roman"/>
          <w:sz w:val="28"/>
          <w:szCs w:val="28"/>
        </w:rPr>
        <w:t xml:space="preserve"> :</w:t>
      </w:r>
      <w:proofErr w:type="gramEnd"/>
      <w:r w:rsidRPr="00C81914">
        <w:rPr>
          <w:rFonts w:ascii="Times New Roman" w:hAnsi="Times New Roman" w:cs="Times New Roman"/>
          <w:sz w:val="28"/>
          <w:szCs w:val="28"/>
        </w:rPr>
        <w:t xml:space="preserve"> 63 </w:t>
      </w:r>
      <w:proofErr w:type="spellStart"/>
      <w:r w:rsidRPr="00C81914">
        <w:rPr>
          <w:rFonts w:ascii="Times New Roman" w:hAnsi="Times New Roman" w:cs="Times New Roman"/>
          <w:sz w:val="28"/>
          <w:szCs w:val="28"/>
        </w:rPr>
        <w:t>établissements</w:t>
      </w:r>
      <w:proofErr w:type="spellEnd"/>
      <w:r w:rsidRPr="00C81914">
        <w:rPr>
          <w:rFonts w:ascii="Times New Roman" w:hAnsi="Times New Roman" w:cs="Times New Roman"/>
          <w:sz w:val="28"/>
          <w:szCs w:val="28"/>
        </w:rPr>
        <w:t xml:space="preserve"> (7,99 %).</w:t>
      </w:r>
    </w:p>
    <w:p w14:paraId="20F9627F" w14:textId="77777777" w:rsidR="00C81914" w:rsidRPr="00C81914" w:rsidRDefault="00C81914" w:rsidP="00C81914">
      <w:pPr>
        <w:numPr>
          <w:ilvl w:val="0"/>
          <w:numId w:val="3"/>
        </w:numPr>
        <w:rPr>
          <w:rFonts w:ascii="Times New Roman" w:hAnsi="Times New Roman" w:cs="Times New Roman"/>
          <w:sz w:val="28"/>
          <w:szCs w:val="28"/>
          <w:lang w:val="fr-FR"/>
        </w:rPr>
      </w:pPr>
      <w:r w:rsidRPr="00C81914">
        <w:rPr>
          <w:rFonts w:ascii="Times New Roman" w:hAnsi="Times New Roman" w:cs="Times New Roman"/>
          <w:sz w:val="28"/>
          <w:szCs w:val="28"/>
          <w:lang w:val="fr-FR"/>
        </w:rPr>
        <w:t>Les provinces comme Errachidia et Zagora ont une présence plus modeste avec respectivement 17 et 12 établissements.</w:t>
      </w:r>
    </w:p>
    <w:p w14:paraId="1A445DA2" w14:textId="7F5FC06A" w:rsidR="00C81914" w:rsidRPr="00C81914" w:rsidRDefault="00C81914" w:rsidP="00C81914">
      <w:pPr>
        <w:rPr>
          <w:rFonts w:ascii="Times New Roman" w:hAnsi="Times New Roman" w:cs="Times New Roman"/>
          <w:sz w:val="28"/>
          <w:szCs w:val="28"/>
        </w:rPr>
      </w:pPr>
    </w:p>
    <w:p w14:paraId="4BC8CBDE" w14:textId="7C5BF565"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Catégories d’hébergement par localisation</w:t>
      </w:r>
    </w:p>
    <w:p w14:paraId="7141F071" w14:textId="77777777" w:rsidR="00C81914" w:rsidRPr="00C81914" w:rsidRDefault="00C81914" w:rsidP="00C81914">
      <w:pPr>
        <w:rPr>
          <w:rFonts w:ascii="Times New Roman" w:hAnsi="Times New Roman" w:cs="Times New Roman"/>
          <w:sz w:val="28"/>
          <w:szCs w:val="28"/>
          <w:lang w:val="fr-FR"/>
        </w:rPr>
      </w:pPr>
      <w:r w:rsidRPr="00C81914">
        <w:rPr>
          <w:rFonts w:ascii="Times New Roman" w:hAnsi="Times New Roman" w:cs="Times New Roman"/>
          <w:sz w:val="28"/>
          <w:szCs w:val="28"/>
          <w:lang w:val="fr-FR"/>
        </w:rPr>
        <w:t>Les types d’hébergement incluent :</w:t>
      </w:r>
    </w:p>
    <w:p w14:paraId="09B2155E" w14:textId="77777777" w:rsidR="00C81914" w:rsidRPr="00C81914" w:rsidRDefault="00C81914" w:rsidP="00C81914">
      <w:pPr>
        <w:numPr>
          <w:ilvl w:val="0"/>
          <w:numId w:val="4"/>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Auberges</w:t>
      </w:r>
      <w:r w:rsidRPr="00C81914">
        <w:rPr>
          <w:rFonts w:ascii="Times New Roman" w:hAnsi="Times New Roman" w:cs="Times New Roman"/>
          <w:sz w:val="28"/>
          <w:szCs w:val="28"/>
          <w:lang w:val="fr-FR"/>
        </w:rPr>
        <w:t xml:space="preserve"> : Fréquentes dans les régions rurales.</w:t>
      </w:r>
    </w:p>
    <w:p w14:paraId="0FEA636F" w14:textId="77777777" w:rsidR="00C81914" w:rsidRPr="00C81914" w:rsidRDefault="00C81914" w:rsidP="00C81914">
      <w:pPr>
        <w:numPr>
          <w:ilvl w:val="0"/>
          <w:numId w:val="4"/>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Résidences hôtelières</w:t>
      </w:r>
      <w:r w:rsidRPr="00C81914">
        <w:rPr>
          <w:rFonts w:ascii="Times New Roman" w:hAnsi="Times New Roman" w:cs="Times New Roman"/>
          <w:sz w:val="28"/>
          <w:szCs w:val="28"/>
          <w:lang w:val="fr-FR"/>
        </w:rPr>
        <w:t xml:space="preserve"> : Majoritairement présentes à Marrakech et Casablanca.</w:t>
      </w:r>
    </w:p>
    <w:p w14:paraId="2DF55A37" w14:textId="77777777" w:rsidR="00C81914" w:rsidRPr="00C81914" w:rsidRDefault="00C81914" w:rsidP="00C81914">
      <w:pPr>
        <w:numPr>
          <w:ilvl w:val="0"/>
          <w:numId w:val="4"/>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Pensions et relais</w:t>
      </w:r>
      <w:r w:rsidRPr="00C81914">
        <w:rPr>
          <w:rFonts w:ascii="Times New Roman" w:hAnsi="Times New Roman" w:cs="Times New Roman"/>
          <w:sz w:val="28"/>
          <w:szCs w:val="28"/>
          <w:lang w:val="fr-FR"/>
        </w:rPr>
        <w:t xml:space="preserve"> : Offrant des options à petit budget dans les zones périphériques.</w:t>
      </w:r>
    </w:p>
    <w:p w14:paraId="3892AEFF" w14:textId="17659AC5" w:rsidR="00C81914" w:rsidRPr="00C81914" w:rsidRDefault="00C81914" w:rsidP="00C81914">
      <w:pPr>
        <w:rPr>
          <w:rFonts w:ascii="Times New Roman" w:hAnsi="Times New Roman" w:cs="Times New Roman"/>
          <w:sz w:val="28"/>
          <w:szCs w:val="28"/>
        </w:rPr>
      </w:pPr>
    </w:p>
    <w:p w14:paraId="6E503D42" w14:textId="4D4A4F80" w:rsidR="00C81914" w:rsidRPr="00C81914" w:rsidRDefault="00C81914" w:rsidP="00C81914">
      <w:pPr>
        <w:pStyle w:val="ListParagraph"/>
        <w:numPr>
          <w:ilvl w:val="0"/>
          <w:numId w:val="5"/>
        </w:numPr>
        <w:rPr>
          <w:rFonts w:ascii="Times New Roman" w:hAnsi="Times New Roman" w:cs="Times New Roman"/>
          <w:sz w:val="28"/>
          <w:szCs w:val="28"/>
          <w:lang w:val="fr-FR"/>
        </w:rPr>
      </w:pPr>
      <w:r w:rsidRPr="00C81914">
        <w:rPr>
          <w:rFonts w:ascii="Times New Roman" w:hAnsi="Times New Roman" w:cs="Times New Roman"/>
          <w:b/>
          <w:bCs/>
          <w:sz w:val="28"/>
          <w:szCs w:val="28"/>
          <w:lang w:val="fr-FR"/>
        </w:rPr>
        <w:t>Conclusion</w:t>
      </w:r>
    </w:p>
    <w:p w14:paraId="6D1F4559" w14:textId="5E8C2B03" w:rsidR="00475E2D" w:rsidRPr="00C81914" w:rsidRDefault="00C81914">
      <w:pPr>
        <w:rPr>
          <w:rFonts w:ascii="Times New Roman" w:hAnsi="Times New Roman" w:cs="Times New Roman"/>
          <w:sz w:val="28"/>
          <w:szCs w:val="28"/>
          <w:lang w:val="fr-FR"/>
        </w:rPr>
      </w:pPr>
      <w:r w:rsidRPr="00C81914">
        <w:rPr>
          <w:rFonts w:ascii="Times New Roman" w:hAnsi="Times New Roman" w:cs="Times New Roman"/>
          <w:sz w:val="28"/>
          <w:szCs w:val="28"/>
          <w:lang w:val="fr-FR"/>
        </w:rPr>
        <w:t>Ce rapport met en lumière la concentration des établissements haut de gamme dans les zones touristiques clés comme Marrakech et Casablanca, tout en soulignant la diversité des options dans d’autres régions. Ces données peuvent être utilisées pour des stratégies de développement touristique adaptées aux spécificités locales.</w:t>
      </w:r>
    </w:p>
    <w:sectPr w:rsidR="00475E2D" w:rsidRPr="00C81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43F0"/>
    <w:multiLevelType w:val="multilevel"/>
    <w:tmpl w:val="2F36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F7AD3"/>
    <w:multiLevelType w:val="multilevel"/>
    <w:tmpl w:val="A254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5497C"/>
    <w:multiLevelType w:val="multilevel"/>
    <w:tmpl w:val="D6F2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72082"/>
    <w:multiLevelType w:val="hybridMultilevel"/>
    <w:tmpl w:val="33A6DC80"/>
    <w:lvl w:ilvl="0" w:tplc="7ECCC15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FD6D92"/>
    <w:multiLevelType w:val="multilevel"/>
    <w:tmpl w:val="6E46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137333">
    <w:abstractNumId w:val="4"/>
  </w:num>
  <w:num w:numId="2" w16cid:durableId="1878007680">
    <w:abstractNumId w:val="2"/>
  </w:num>
  <w:num w:numId="3" w16cid:durableId="1857952">
    <w:abstractNumId w:val="1"/>
  </w:num>
  <w:num w:numId="4" w16cid:durableId="1702631237">
    <w:abstractNumId w:val="0"/>
  </w:num>
  <w:num w:numId="5" w16cid:durableId="1817645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914"/>
    <w:rsid w:val="00126C44"/>
    <w:rsid w:val="00422B64"/>
    <w:rsid w:val="00475E2D"/>
    <w:rsid w:val="00C81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77"/>
  <w15:chartTrackingRefBased/>
  <w15:docId w15:val="{15BAA085-DC99-4AF7-B224-FB8F1170A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914"/>
    <w:rPr>
      <w:rFonts w:eastAsiaTheme="majorEastAsia" w:cstheme="majorBidi"/>
      <w:color w:val="272727" w:themeColor="text1" w:themeTint="D8"/>
    </w:rPr>
  </w:style>
  <w:style w:type="paragraph" w:styleId="Title">
    <w:name w:val="Title"/>
    <w:basedOn w:val="Normal"/>
    <w:next w:val="Normal"/>
    <w:link w:val="TitleChar"/>
    <w:uiPriority w:val="10"/>
    <w:qFormat/>
    <w:rsid w:val="00C81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914"/>
    <w:pPr>
      <w:spacing w:before="160"/>
      <w:jc w:val="center"/>
    </w:pPr>
    <w:rPr>
      <w:i/>
      <w:iCs/>
      <w:color w:val="404040" w:themeColor="text1" w:themeTint="BF"/>
    </w:rPr>
  </w:style>
  <w:style w:type="character" w:customStyle="1" w:styleId="QuoteChar">
    <w:name w:val="Quote Char"/>
    <w:basedOn w:val="DefaultParagraphFont"/>
    <w:link w:val="Quote"/>
    <w:uiPriority w:val="29"/>
    <w:rsid w:val="00C81914"/>
    <w:rPr>
      <w:i/>
      <w:iCs/>
      <w:color w:val="404040" w:themeColor="text1" w:themeTint="BF"/>
    </w:rPr>
  </w:style>
  <w:style w:type="paragraph" w:styleId="ListParagraph">
    <w:name w:val="List Paragraph"/>
    <w:basedOn w:val="Normal"/>
    <w:uiPriority w:val="34"/>
    <w:qFormat/>
    <w:rsid w:val="00C81914"/>
    <w:pPr>
      <w:ind w:left="720"/>
      <w:contextualSpacing/>
    </w:pPr>
  </w:style>
  <w:style w:type="character" w:styleId="IntenseEmphasis">
    <w:name w:val="Intense Emphasis"/>
    <w:basedOn w:val="DefaultParagraphFont"/>
    <w:uiPriority w:val="21"/>
    <w:qFormat/>
    <w:rsid w:val="00C81914"/>
    <w:rPr>
      <w:i/>
      <w:iCs/>
      <w:color w:val="0F4761" w:themeColor="accent1" w:themeShade="BF"/>
    </w:rPr>
  </w:style>
  <w:style w:type="paragraph" w:styleId="IntenseQuote">
    <w:name w:val="Intense Quote"/>
    <w:basedOn w:val="Normal"/>
    <w:next w:val="Normal"/>
    <w:link w:val="IntenseQuoteChar"/>
    <w:uiPriority w:val="30"/>
    <w:qFormat/>
    <w:rsid w:val="00C81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914"/>
    <w:rPr>
      <w:i/>
      <w:iCs/>
      <w:color w:val="0F4761" w:themeColor="accent1" w:themeShade="BF"/>
    </w:rPr>
  </w:style>
  <w:style w:type="character" w:styleId="IntenseReference">
    <w:name w:val="Intense Reference"/>
    <w:basedOn w:val="DefaultParagraphFont"/>
    <w:uiPriority w:val="32"/>
    <w:qFormat/>
    <w:rsid w:val="00C819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1959">
      <w:bodyDiv w:val="1"/>
      <w:marLeft w:val="0"/>
      <w:marRight w:val="0"/>
      <w:marTop w:val="0"/>
      <w:marBottom w:val="0"/>
      <w:divBdr>
        <w:top w:val="none" w:sz="0" w:space="0" w:color="auto"/>
        <w:left w:val="none" w:sz="0" w:space="0" w:color="auto"/>
        <w:bottom w:val="none" w:sz="0" w:space="0" w:color="auto"/>
        <w:right w:val="none" w:sz="0" w:space="0" w:color="auto"/>
      </w:divBdr>
      <w:divsChild>
        <w:div w:id="901714391">
          <w:marLeft w:val="0"/>
          <w:marRight w:val="0"/>
          <w:marTop w:val="0"/>
          <w:marBottom w:val="0"/>
          <w:divBdr>
            <w:top w:val="none" w:sz="0" w:space="0" w:color="auto"/>
            <w:left w:val="none" w:sz="0" w:space="0" w:color="auto"/>
            <w:bottom w:val="none" w:sz="0" w:space="0" w:color="auto"/>
            <w:right w:val="none" w:sz="0" w:space="0" w:color="auto"/>
          </w:divBdr>
        </w:div>
        <w:div w:id="1865056187">
          <w:marLeft w:val="0"/>
          <w:marRight w:val="0"/>
          <w:marTop w:val="0"/>
          <w:marBottom w:val="0"/>
          <w:divBdr>
            <w:top w:val="none" w:sz="0" w:space="0" w:color="auto"/>
            <w:left w:val="none" w:sz="0" w:space="0" w:color="auto"/>
            <w:bottom w:val="none" w:sz="0" w:space="0" w:color="auto"/>
            <w:right w:val="none" w:sz="0" w:space="0" w:color="auto"/>
          </w:divBdr>
        </w:div>
        <w:div w:id="686324276">
          <w:marLeft w:val="0"/>
          <w:marRight w:val="0"/>
          <w:marTop w:val="0"/>
          <w:marBottom w:val="0"/>
          <w:divBdr>
            <w:top w:val="none" w:sz="0" w:space="0" w:color="auto"/>
            <w:left w:val="none" w:sz="0" w:space="0" w:color="auto"/>
            <w:bottom w:val="none" w:sz="0" w:space="0" w:color="auto"/>
            <w:right w:val="none" w:sz="0" w:space="0" w:color="auto"/>
          </w:divBdr>
        </w:div>
        <w:div w:id="634220659">
          <w:marLeft w:val="0"/>
          <w:marRight w:val="0"/>
          <w:marTop w:val="0"/>
          <w:marBottom w:val="0"/>
          <w:divBdr>
            <w:top w:val="none" w:sz="0" w:space="0" w:color="auto"/>
            <w:left w:val="none" w:sz="0" w:space="0" w:color="auto"/>
            <w:bottom w:val="none" w:sz="0" w:space="0" w:color="auto"/>
            <w:right w:val="none" w:sz="0" w:space="0" w:color="auto"/>
          </w:divBdr>
        </w:div>
        <w:div w:id="1528325264">
          <w:marLeft w:val="0"/>
          <w:marRight w:val="0"/>
          <w:marTop w:val="0"/>
          <w:marBottom w:val="0"/>
          <w:divBdr>
            <w:top w:val="none" w:sz="0" w:space="0" w:color="auto"/>
            <w:left w:val="none" w:sz="0" w:space="0" w:color="auto"/>
            <w:bottom w:val="none" w:sz="0" w:space="0" w:color="auto"/>
            <w:right w:val="none" w:sz="0" w:space="0" w:color="auto"/>
          </w:divBdr>
        </w:div>
      </w:divsChild>
    </w:div>
    <w:div w:id="879130529">
      <w:bodyDiv w:val="1"/>
      <w:marLeft w:val="0"/>
      <w:marRight w:val="0"/>
      <w:marTop w:val="0"/>
      <w:marBottom w:val="0"/>
      <w:divBdr>
        <w:top w:val="none" w:sz="0" w:space="0" w:color="auto"/>
        <w:left w:val="none" w:sz="0" w:space="0" w:color="auto"/>
        <w:bottom w:val="none" w:sz="0" w:space="0" w:color="auto"/>
        <w:right w:val="none" w:sz="0" w:space="0" w:color="auto"/>
      </w:divBdr>
      <w:divsChild>
        <w:div w:id="477963099">
          <w:marLeft w:val="0"/>
          <w:marRight w:val="0"/>
          <w:marTop w:val="0"/>
          <w:marBottom w:val="0"/>
          <w:divBdr>
            <w:top w:val="none" w:sz="0" w:space="0" w:color="auto"/>
            <w:left w:val="none" w:sz="0" w:space="0" w:color="auto"/>
            <w:bottom w:val="none" w:sz="0" w:space="0" w:color="auto"/>
            <w:right w:val="none" w:sz="0" w:space="0" w:color="auto"/>
          </w:divBdr>
        </w:div>
        <w:div w:id="1671712992">
          <w:marLeft w:val="0"/>
          <w:marRight w:val="0"/>
          <w:marTop w:val="0"/>
          <w:marBottom w:val="0"/>
          <w:divBdr>
            <w:top w:val="none" w:sz="0" w:space="0" w:color="auto"/>
            <w:left w:val="none" w:sz="0" w:space="0" w:color="auto"/>
            <w:bottom w:val="none" w:sz="0" w:space="0" w:color="auto"/>
            <w:right w:val="none" w:sz="0" w:space="0" w:color="auto"/>
          </w:divBdr>
        </w:div>
        <w:div w:id="81026721">
          <w:marLeft w:val="0"/>
          <w:marRight w:val="0"/>
          <w:marTop w:val="0"/>
          <w:marBottom w:val="0"/>
          <w:divBdr>
            <w:top w:val="none" w:sz="0" w:space="0" w:color="auto"/>
            <w:left w:val="none" w:sz="0" w:space="0" w:color="auto"/>
            <w:bottom w:val="none" w:sz="0" w:space="0" w:color="auto"/>
            <w:right w:val="none" w:sz="0" w:space="0" w:color="auto"/>
          </w:divBdr>
        </w:div>
        <w:div w:id="2064210216">
          <w:marLeft w:val="0"/>
          <w:marRight w:val="0"/>
          <w:marTop w:val="0"/>
          <w:marBottom w:val="0"/>
          <w:divBdr>
            <w:top w:val="none" w:sz="0" w:space="0" w:color="auto"/>
            <w:left w:val="none" w:sz="0" w:space="0" w:color="auto"/>
            <w:bottom w:val="none" w:sz="0" w:space="0" w:color="auto"/>
            <w:right w:val="none" w:sz="0" w:space="0" w:color="auto"/>
          </w:divBdr>
        </w:div>
        <w:div w:id="1980303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 Akagami</dc:creator>
  <cp:keywords/>
  <dc:description/>
  <cp:lastModifiedBy>Shanks Akagami</cp:lastModifiedBy>
  <cp:revision>1</cp:revision>
  <dcterms:created xsi:type="dcterms:W3CDTF">2024-12-24T09:04:00Z</dcterms:created>
  <dcterms:modified xsi:type="dcterms:W3CDTF">2024-12-24T09:09:00Z</dcterms:modified>
</cp:coreProperties>
</file>