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Laser stabilization and control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PDH method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对激光器的频率稳定，我们主要采用PDH稳频方案，该方案的PID，low pass filter，mixer，phase shifter，RF oscillator这些伺服电子设备都由Toptica DL pro激光控制器自带。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2265" cy="1866900"/>
            <wp:effectExtent l="0" t="0" r="635" b="0"/>
            <wp:docPr id="1" name="图片 1" descr="Pound–Drever–Hall_techniqu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ound–Drever–Hall_technique.sv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如果是加低频</w:t>
      </w:r>
      <w:r>
        <w:rPr>
          <w:rFonts w:hint="eastAsia"/>
          <w:position w:val="-4"/>
          <w:lang w:val="en-US" w:eastAsia="zh-CN"/>
        </w:rPr>
        <w:object>
          <v:shape id="_x0000_i1025" o:spt="75" type="#_x0000_t75" style="height:13pt;width:16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>级边带，那么激光内置RF oscillator就可以搞定。若要加MHz及以上级别调制需要外部的EOM、信号发生器和驱动EOM的放大器。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PDH方案的要点: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 signal：</w:t>
      </w:r>
      <w:r>
        <w:rPr>
          <w:rFonts w:hint="eastAsia"/>
          <w:position w:val="-16"/>
          <w:lang w:val="en-US" w:eastAsia="zh-CN"/>
        </w:rPr>
        <w:object>
          <v:shape id="_x0000_i1026" o:spt="75" type="#_x0000_t75" style="height:22pt;width:298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position w:val="-12"/>
          <w:lang w:val="en-US" w:eastAsia="zh-CN"/>
        </w:rPr>
        <w:object>
          <v:shape id="_x0000_i1027" o:spt="75" type="#_x0000_t75" style="height:18pt;width:13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is the optical power of the carrier wave, </w:t>
      </w:r>
      <w:r>
        <w:rPr>
          <w:rFonts w:hint="eastAsia"/>
          <w:position w:val="-14"/>
          <w:lang w:val="en-US" w:eastAsia="zh-CN"/>
        </w:rPr>
        <w:object>
          <v:shape id="_x0000_i1028" o:spt="75" type="#_x0000_t75" style="height:19pt;width:1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is the power of the first side-band wave, </w:t>
      </w:r>
      <w:r>
        <w:rPr>
          <w:rFonts w:hint="eastAsia"/>
          <w:position w:val="-10"/>
          <w:lang w:val="en-US" w:eastAsia="zh-CN"/>
        </w:rPr>
        <w:object>
          <v:shape id="_x0000_i1029" o:spt="75" type="#_x0000_t75" style="height:13pt;width:11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is the phase difference between the mixed signals.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 signal: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37815"/>
            <wp:effectExtent l="0" t="0" r="11430" b="635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2、The best modulation index is </w:t>
      </w:r>
      <w:r>
        <w:rPr>
          <w:rFonts w:hint="eastAsia"/>
          <w:position w:val="-10"/>
          <w:lang w:val="en-US" w:eastAsia="zh-CN"/>
        </w:rPr>
        <w:object>
          <v:shape id="_x0000_i1030" o:spt="75" type="#_x0000_t75" style="height:16pt;width:4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eastAsia"/>
          <w:lang w:val="en-US" w:eastAsia="zh-CN"/>
        </w:rPr>
        <w:t>(</w:t>
      </w:r>
      <w:r>
        <w:rPr>
          <w:rFonts w:hint="eastAsia"/>
          <w:position w:val="-30"/>
          <w:lang w:val="en-US" w:eastAsia="zh-CN"/>
        </w:rPr>
        <w:object>
          <v:shape id="_x0000_i1031" o:spt="75" type="#_x0000_t75" style="height:35pt;width:5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). In this condition, the slope of the error signal will be most steep.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capture range of the PID is the side-band frequency from the carrier frequency, i.e. the modulation frequency.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locking point is integer multiples of the free spectral range of the reference cavity. The integer is very large, typically around 10</w:t>
      </w:r>
      <w:r>
        <w:rPr>
          <w:rFonts w:hint="eastAsia"/>
          <w:vertAlign w:val="superscript"/>
          <w:lang w:val="en-US" w:eastAsia="zh-CN"/>
        </w:rPr>
        <w:t>5</w:t>
      </w:r>
      <w:r>
        <w:rPr>
          <w:rFonts w:hint="eastAsia"/>
          <w:vertAlign w:val="baseline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PDH误差信号的推导：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入射光经过相位调制：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bookmarkStart w:id="0" w:name="OLE_LINK3"/>
      <w:r>
        <w:rPr>
          <w:rFonts w:hint="eastAsia"/>
          <w:position w:val="-12"/>
          <w:vertAlign w:val="baseline"/>
          <w:lang w:val="en-US" w:eastAsia="zh-CN"/>
        </w:rPr>
        <w:object>
          <v:shape id="_x0000_i1032" o:spt="75" type="#_x0000_t75" style="height:19pt;width:96.9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将上式做傅里叶级数展开：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bookmarkStart w:id="1" w:name="OLE_LINK5"/>
      <w:r>
        <w:rPr>
          <w:rFonts w:hint="eastAsia"/>
          <w:position w:val="-30"/>
          <w:vertAlign w:val="baseline"/>
          <w:lang w:val="en-US" w:eastAsia="zh-CN"/>
        </w:rPr>
        <w:object>
          <v:shape id="_x0000_i1033" o:spt="75" type="#_x0000_t75" style="height:36pt;width:120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其中</w:t>
      </w:r>
      <w:r>
        <w:rPr>
          <w:rFonts w:hint="eastAsia"/>
          <w:position w:val="-32"/>
          <w:vertAlign w:val="baseline"/>
          <w:lang w:val="en-US" w:eastAsia="zh-CN"/>
        </w:rPr>
        <w:object>
          <v:shape id="_x0000_i1034" o:spt="75" type="#_x0000_t75" style="height:38pt;width:114.9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，即：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bookmarkStart w:id="2" w:name="OLE_LINK4"/>
      <w:r>
        <w:rPr>
          <w:rFonts w:hint="eastAsia"/>
          <w:position w:val="-32"/>
          <w:vertAlign w:val="baseline"/>
          <w:lang w:val="en-US" w:eastAsia="zh-CN"/>
        </w:rPr>
        <w:object>
          <v:shape id="_x0000_i1035" o:spt="75" type="#_x0000_t75" style="height:38pt;width:14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6">
            <o:LockedField>false</o:LockedField>
          </o:OLEObject>
        </w:objec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12"/>
          <w:vertAlign w:val="baseline"/>
          <w:lang w:val="en-US" w:eastAsia="zh-CN"/>
        </w:rPr>
        <w:object>
          <v:shape id="_x0000_i1036" o:spt="75" type="#_x0000_t75" style="height:18pt;width:31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8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为n阶Bessel函数。故：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bookmarkStart w:id="3" w:name="OLE_LINK6"/>
      <w:r>
        <w:rPr>
          <w:rFonts w:hint="eastAsia"/>
          <w:position w:val="-34"/>
          <w:vertAlign w:val="baseline"/>
          <w:lang w:val="en-US" w:eastAsia="zh-CN"/>
        </w:rPr>
        <w:object>
          <v:shape id="_x0000_i1037" o:spt="75" type="#_x0000_t75" style="height:40pt;width:330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0">
            <o:LockedField>false</o:LockedField>
          </o:OLEObject>
        </w:objec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当光场从参考腔反射后，会附加上参考腔的共振信息，数学形式就是乘上反射系数</w:t>
      </w:r>
      <w:r>
        <w:rPr>
          <w:rFonts w:hint="eastAsia"/>
          <w:position w:val="-10"/>
          <w:vertAlign w:val="baseline"/>
          <w:lang w:val="en-US" w:eastAsia="zh-CN"/>
        </w:rPr>
        <w:object>
          <v:shape id="_x0000_i1038" o:spt="75" type="#_x0000_t75" style="height:17pt;width:28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2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44"/>
          <w:vertAlign w:val="baseline"/>
          <w:lang w:val="en-US" w:eastAsia="zh-CN"/>
        </w:rPr>
        <w:object>
          <v:shape id="_x0000_i1039" o:spt="75" type="#_x0000_t75" style="height:49.95pt;width:348.9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当调制深度</w:t>
      </w:r>
      <w:r>
        <w:rPr>
          <w:rFonts w:hint="eastAsia"/>
          <w:position w:val="-10"/>
          <w:vertAlign w:val="baseline"/>
          <w:lang w:val="en-US" w:eastAsia="zh-CN"/>
        </w:rPr>
        <w:object>
          <v:shape id="_x0000_i1040" o:spt="75" type="#_x0000_t75" style="height:16pt;width:12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6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约为1时，</w:t>
      </w:r>
      <w:r>
        <w:rPr>
          <w:rFonts w:hint="eastAsia"/>
          <w:position w:val="-14"/>
          <w:vertAlign w:val="baseline"/>
          <w:lang w:val="en-US" w:eastAsia="zh-CN"/>
        </w:rPr>
        <w:object>
          <v:shape id="_x0000_i1041" o:spt="75" type="#_x0000_t75" style="height:20pt;width:3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8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的Bessel函数值都很小故可以只保留到1阶项，反射光强信号为：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52"/>
          <w:vertAlign w:val="baseline"/>
          <w:lang w:val="en-US" w:eastAsia="zh-CN"/>
        </w:rPr>
        <w:object>
          <v:shape id="_x0000_i1042" o:spt="75" type="#_x0000_t75" style="height:63pt;width:316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其中</w:t>
      </w:r>
      <w:r>
        <w:rPr>
          <w:rFonts w:hint="eastAsia"/>
          <w:position w:val="-12"/>
          <w:vertAlign w:val="baseline"/>
          <w:lang w:val="en-US" w:eastAsia="zh-CN"/>
        </w:rPr>
        <w:object>
          <v:shape id="_x0000_i1043" o:spt="75" type="#_x0000_t75" style="height:19pt;width:67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2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，经过mixer和低通滤波的解调过程后得到误差信号为：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14"/>
          <w:vertAlign w:val="baseline"/>
          <w:lang w:val="en-US" w:eastAsia="zh-CN"/>
        </w:rPr>
        <w:object>
          <v:shape id="_x0000_i1044" o:spt="75" type="#_x0000_t75" style="height:21pt;width:38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Polarization spectroscopy method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采用PDH方案有一个难以避免的问题，那就是参考腔腔长的单向漂移会导致激光锁定的中心频率漂移。为了防止这一现象，一个有效方案是采用阴极灯的Doppler free spectroscopy和这里的Polarization spectroscopy方法。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下面左图是用Polarization spectroscopy方法锁定Yb离子369.5nm的装置图：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3170555</wp:posOffset>
            </wp:positionH>
            <wp:positionV relativeFrom="paragraph">
              <wp:posOffset>774065</wp:posOffset>
            </wp:positionV>
            <wp:extent cx="2403475" cy="1710055"/>
            <wp:effectExtent l="0" t="0" r="15875" b="4445"/>
            <wp:wrapSquare wrapText="bothSides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892425" cy="2638425"/>
            <wp:effectExtent l="0" t="0" r="3175" b="952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Polarization spectroscopy 方法的要点：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There are two beams going through the hollow cathode lamp, one is pump beam(right-handed polarization) which is used to deplete the population of F=1, m</w:t>
      </w:r>
      <w:r>
        <w:rPr>
          <w:rFonts w:hint="eastAsia"/>
          <w:vertAlign w:val="subscript"/>
          <w:lang w:val="en-US" w:eastAsia="zh-CN"/>
        </w:rPr>
        <w:t>F</w:t>
      </w:r>
      <w:r>
        <w:rPr>
          <w:rFonts w:hint="eastAsia"/>
          <w:vertAlign w:val="baseline"/>
          <w:lang w:val="en-US" w:eastAsia="zh-CN"/>
        </w:rPr>
        <w:t>=-1. The other one is probe beam(linear porization=</w:t>
      </w:r>
      <w:r>
        <w:rPr>
          <w:rFonts w:hint="eastAsia"/>
          <w:position w:val="-6"/>
          <w:vertAlign w:val="baseline"/>
          <w:lang w:val="en-US" w:eastAsia="zh-CN"/>
        </w:rPr>
        <w:object>
          <v:shape id="_x0000_i1045" o:spt="75" type="#_x0000_t75" style="height:16pt;width:41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8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 xml:space="preserve">). Because of the depletion of population in the </w:t>
      </w:r>
      <w:r>
        <w:rPr>
          <w:rFonts w:hint="eastAsia"/>
          <w:lang w:val="en-US" w:eastAsia="zh-CN"/>
        </w:rPr>
        <w:t>F=1, m</w:t>
      </w:r>
      <w:r>
        <w:rPr>
          <w:rFonts w:hint="eastAsia"/>
          <w:vertAlign w:val="subscript"/>
          <w:lang w:val="en-US" w:eastAsia="zh-CN"/>
        </w:rPr>
        <w:t>F</w:t>
      </w:r>
      <w:r>
        <w:rPr>
          <w:rFonts w:hint="eastAsia"/>
          <w:vertAlign w:val="baseline"/>
          <w:lang w:val="en-US" w:eastAsia="zh-CN"/>
        </w:rPr>
        <w:t xml:space="preserve">=-1, the absorption of </w:t>
      </w:r>
      <w:r>
        <w:rPr>
          <w:rFonts w:hint="eastAsia"/>
          <w:position w:val="-6"/>
          <w:vertAlign w:val="baseline"/>
          <w:lang w:val="en-US" w:eastAsia="zh-CN"/>
        </w:rPr>
        <w:object>
          <v:shape id="_x0000_i1046" o:spt="75" type="#_x0000_t75" style="height:16pt;width:17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0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 xml:space="preserve">component of the probe beam will be different from the </w:t>
      </w:r>
      <w:bookmarkStart w:id="4" w:name="OLE_LINK1"/>
      <w:r>
        <w:rPr>
          <w:rFonts w:hint="eastAsia"/>
          <w:position w:val="-6"/>
          <w:vertAlign w:val="baseline"/>
          <w:lang w:val="en-US" w:eastAsia="zh-CN"/>
        </w:rPr>
        <w:object>
          <v:shape id="_x0000_i1047" o:spt="75" type="#_x0000_t75" style="height:16pt;width:17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2">
            <o:LockedField>false</o:LockedField>
          </o:OLEObject>
        </w:object>
      </w:r>
      <w:bookmarkEnd w:id="4"/>
      <w:r>
        <w:rPr>
          <w:rFonts w:hint="eastAsia"/>
          <w:vertAlign w:val="baseline"/>
          <w:lang w:val="en-US" w:eastAsia="zh-CN"/>
        </w:rPr>
        <w:t xml:space="preserve">component because the absorption is saturated for the </w:t>
      </w:r>
      <w:r>
        <w:rPr>
          <w:rFonts w:hint="eastAsia"/>
          <w:position w:val="-6"/>
          <w:vertAlign w:val="baseline"/>
          <w:lang w:val="en-US" w:eastAsia="zh-CN"/>
        </w:rPr>
        <w:object>
          <v:shape id="_x0000_i1048" o:spt="75" type="#_x0000_t75" style="height:16pt;width:17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4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 xml:space="preserve">component but not for the </w:t>
      </w:r>
      <w:r>
        <w:rPr>
          <w:rFonts w:hint="eastAsia"/>
          <w:position w:val="-6"/>
          <w:vertAlign w:val="baseline"/>
          <w:lang w:val="en-US" w:eastAsia="zh-CN"/>
        </w:rPr>
        <w:object>
          <v:shape id="_x0000_i1049" o:spt="75" type="#_x0000_t75" style="height:16pt;width:17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6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component.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Then there will be intensity difference between the vertical polarization beam and horizontal polarization beam: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28"/>
          <w:vertAlign w:val="baseline"/>
          <w:lang w:val="en-US" w:eastAsia="zh-CN"/>
        </w:rPr>
        <w:object>
          <v:shape id="_x0000_i1050" o:spt="75" type="#_x0000_t75" style="height:34pt;width:186.9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The Wollaston prism will split the vertical polarization beam and horizontal polarization beam, then the balanced photon-detector can detect the intensity difference.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The error signal: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24"/>
          <w:vertAlign w:val="baseline"/>
          <w:lang w:val="en-US" w:eastAsia="zh-CN"/>
        </w:rPr>
        <w:object>
          <v:shape id="_x0000_i1051" o:spt="75" type="#_x0000_t75" style="height:31pt;width:31.9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9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 xml:space="preserve">, then </w:t>
      </w:r>
      <w:r>
        <w:rPr>
          <w:rFonts w:hint="eastAsia"/>
          <w:position w:val="-54"/>
          <w:vertAlign w:val="baseline"/>
          <w:lang w:val="en-US" w:eastAsia="zh-CN"/>
        </w:rPr>
        <w:object>
          <v:shape id="_x0000_i1052" o:spt="75" type="#_x0000_t75" style="height:60pt;width:163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1">
            <o:LockedField>false</o:LockedField>
          </o:OLEObject>
        </w:object>
      </w:r>
      <w:r>
        <w:rPr>
          <w:rFonts w:hint="eastAsia"/>
          <w:vertAlign w:val="baseline"/>
          <w:lang w:val="en-US" w:eastAsia="zh-CN"/>
        </w:rPr>
        <w:t>, so the error signal is: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position w:val="-54"/>
          <w:vertAlign w:val="baseline"/>
          <w:lang w:val="en-US" w:eastAsia="zh-CN"/>
        </w:rPr>
        <w:object>
          <v:shape id="_x0000_i1053" o:spt="75" type="#_x0000_t75" style="height:60pt;width:100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Style w:val="8"/>
          <w:rFonts w:hint="eastAsia"/>
          <w:sz w:val="26"/>
        </w:rPr>
      </w:pPr>
      <w:r>
        <w:rPr>
          <w:rStyle w:val="8"/>
          <w:rFonts w:hint="eastAsia"/>
          <w:sz w:val="26"/>
        </w:rPr>
        <w:drawing>
          <wp:inline distT="0" distB="0" distL="114300" distR="114300">
            <wp:extent cx="3429000" cy="2228850"/>
            <wp:effectExtent l="0" t="0" r="0" b="0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Style w:val="8"/>
          <w:rFonts w:hint="default" w:ascii="Times New Roman" w:hAnsi="Times New Roman" w:eastAsia="Courier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Style w:val="8"/>
          <w:rFonts w:hint="default" w:ascii="Times New Roman" w:hAnsi="Times New Roman" w:eastAsia="Courier" w:cs="Times New Roman"/>
          <w:b/>
          <w:bCs/>
          <w:sz w:val="28"/>
          <w:szCs w:val="28"/>
          <w:lang w:val="en-US" w:eastAsia="zh-CN"/>
        </w:rPr>
      </w:pPr>
      <w:r>
        <w:rPr>
          <w:rStyle w:val="8"/>
          <w:rFonts w:hint="default" w:ascii="Times New Roman" w:hAnsi="Times New Roman" w:eastAsia="Courier" w:cs="Times New Roman"/>
          <w:b/>
          <w:bCs/>
          <w:sz w:val="28"/>
          <w:szCs w:val="28"/>
          <w:lang w:val="en-US" w:eastAsia="zh-CN"/>
        </w:rPr>
        <w:t>PDH method with ULE reference cavity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另一种抑制中心频率漂移的方法是在PDH方案中把参考腔换成特制的ULE(ultra low expansion)腔，即腔长极为稳定的F-P腔。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ULE腔制作参考：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1、Development of ultra-stable laser sources and long-distance optical link via telecommunication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2870835</wp:posOffset>
            </wp:positionH>
            <wp:positionV relativeFrom="paragraph">
              <wp:posOffset>224155</wp:posOffset>
            </wp:positionV>
            <wp:extent cx="2251075" cy="1791335"/>
            <wp:effectExtent l="0" t="0" r="15875" b="18415"/>
            <wp:wrapSquare wrapText="bothSides"/>
            <wp:docPr id="1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2863850</wp:posOffset>
            </wp:positionH>
            <wp:positionV relativeFrom="paragraph">
              <wp:posOffset>2312670</wp:posOffset>
            </wp:positionV>
            <wp:extent cx="2516505" cy="1936115"/>
            <wp:effectExtent l="0" t="0" r="17145" b="6985"/>
            <wp:wrapSquare wrapText="bothSides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81580" cy="2121535"/>
            <wp:effectExtent l="0" t="0" r="13970" b="12065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55245</wp:posOffset>
            </wp:positionV>
            <wp:extent cx="2677160" cy="1566545"/>
            <wp:effectExtent l="0" t="0" r="8890" b="14605"/>
            <wp:wrapSquare wrapText="bothSides"/>
            <wp:docPr id="1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Diode laser frequency stabilization onto an optical cavity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200525" cy="1770380"/>
            <wp:effectExtent l="0" t="0" r="9525" b="1270"/>
            <wp:docPr id="1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48260</wp:posOffset>
            </wp:positionV>
            <wp:extent cx="2103755" cy="1946910"/>
            <wp:effectExtent l="0" t="0" r="10795" b="15240"/>
            <wp:wrapSquare wrapText="bothSides"/>
            <wp:docPr id="1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2319655</wp:posOffset>
            </wp:positionH>
            <wp:positionV relativeFrom="paragraph">
              <wp:posOffset>167005</wp:posOffset>
            </wp:positionV>
            <wp:extent cx="2606040" cy="1678940"/>
            <wp:effectExtent l="0" t="0" r="3810" b="16510"/>
            <wp:wrapSquare wrapText="bothSides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217670" cy="2859405"/>
            <wp:effectExtent l="0" t="0" r="11430" b="17145"/>
            <wp:docPr id="2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181475" cy="3710940"/>
            <wp:effectExtent l="0" t="0" r="9525" b="3810"/>
            <wp:docPr id="2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制作：初步打算先定制一个微晶玻璃spacer或者ULE玻璃spacer，它们的线性热膨胀系数一般为</w:t>
      </w:r>
      <w:r>
        <w:rPr>
          <w:rFonts w:hint="eastAsia"/>
          <w:position w:val="-6"/>
          <w:lang w:val="en-US" w:eastAsia="zh-CN"/>
        </w:rPr>
        <w:object>
          <v:shape id="_x0000_i1054" o:spt="75" type="#_x0000_t75" style="height:16pt;width:60.9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75">
            <o:LockedField>false</o:LockedField>
          </o:OLEObject>
        </w:object>
      </w:r>
      <w:r>
        <w:rPr>
          <w:rFonts w:hint="eastAsia"/>
          <w:lang w:val="en-US" w:eastAsia="zh-CN"/>
        </w:rPr>
        <w:t>，然后采用光学粘合法（自己可能不能做）或直接用低热膨胀系数的胶把反射镜粘到spacer上。我们希望胶的热膨胀系数控制在</w:t>
      </w:r>
      <w:r>
        <w:rPr>
          <w:rFonts w:hint="eastAsia"/>
          <w:position w:val="-6"/>
          <w:lang w:val="en-US" w:eastAsia="zh-CN"/>
        </w:rPr>
        <w:object>
          <v:shape id="_x0000_i1055" o:spt="75" type="#_x0000_t75" style="height:16pt;width:28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77">
            <o:LockedField>false</o:LockedField>
          </o:OLEObject>
        </w:object>
      </w:r>
      <w:r>
        <w:rPr>
          <w:rFonts w:hint="eastAsia"/>
          <w:lang w:val="en-US" w:eastAsia="zh-CN"/>
        </w:rPr>
        <w:t>以内，这样假设胶厚度为0.1mm，spacer有100mm，则最终整体的线性热膨胀系数为：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position w:val="-32"/>
          <w:lang w:val="en-US" w:eastAsia="zh-CN"/>
        </w:rPr>
        <w:object>
          <v:shape id="_x0000_i1056" o:spt="75" type="#_x0000_t75" style="height:37pt;width:312.9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7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微晶玻璃spacer参考公司：肖特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粘胶参考公司：Permabond、Bacon adhesive、United adhesive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腔自由光谱程漂移：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bookmarkStart w:id="5" w:name="OLE_LINK2"/>
      <w:r>
        <w:rPr>
          <w:rFonts w:hint="eastAsia"/>
          <w:position w:val="-30"/>
          <w:lang w:val="en-US" w:eastAsia="zh-CN"/>
        </w:rPr>
        <w:object>
          <v:shape id="_x0000_i1057" o:spt="75" type="#_x0000_t75" style="height:40pt;width:168.9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81">
            <o:LockedField>false</o:LockedField>
          </o:OLEObject>
        </w:objec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其中L为腔长，n为腔中空气柱的折射率。假设空气折射率和空气压成正比，则：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position w:val="-32"/>
          <w:lang w:val="en-US" w:eastAsia="zh-CN"/>
        </w:rPr>
        <w:object>
          <v:shape id="_x0000_i1058" o:spt="75" type="#_x0000_t75" style="height:42pt;width:170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8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59" o:spt="75" type="#_x0000_t75" style="height:31pt;width:54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85">
            <o:LockedField>false</o:LockedField>
          </o:OLEObject>
        </w:object>
      </w:r>
      <w:r>
        <w:rPr>
          <w:rFonts w:hint="eastAsia"/>
          <w:lang w:val="en-US" w:eastAsia="zh-CN"/>
        </w:rPr>
        <w:t>。假设一个小时内气压变化有1毫巴量级，温度是0.1K量级，则主要是气压变化占主导，故</w:t>
      </w:r>
      <w:r>
        <w:rPr>
          <w:rFonts w:hint="eastAsia"/>
          <w:position w:val="-24"/>
          <w:lang w:val="en-US" w:eastAsia="zh-CN"/>
        </w:rPr>
        <w:object>
          <v:shape id="_x0000_i1060" o:spt="75" type="#_x0000_t75" style="height:31pt;width:52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87">
            <o:LockedField>false</o:LockedField>
          </o:OLEObject>
        </w:object>
      </w:r>
      <w:r>
        <w:rPr>
          <w:rFonts w:hint="eastAsia"/>
          <w:lang w:val="en-US" w:eastAsia="zh-CN"/>
        </w:rPr>
        <w:t>。假设腔的自由光谱程为1.5GHz，则自由光谱程漂移为1.5MHz。假设我们锁定369.5nm，则锁点频率约是自由光谱程50万倍。假设我们忽略锁频反馈时间，则激光频率将会被锁点带着漂移0.75THz。所以</w:t>
      </w:r>
      <w:r>
        <w:rPr>
          <w:rFonts w:hint="eastAsia"/>
          <w:b/>
          <w:bCs/>
          <w:lang w:val="en-US" w:eastAsia="zh-CN"/>
        </w:rPr>
        <w:t>气压变化是占主导</w:t>
      </w:r>
      <w:r>
        <w:rPr>
          <w:rFonts w:hint="eastAsia"/>
          <w:lang w:val="en-US" w:eastAsia="zh-CN"/>
        </w:rPr>
        <w:t>的，在参考腔外罩真空腔是绝对必要的，不然参考腔热膨胀系数再低都没有意义。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Demodulation and servo control system for frequency stabilization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给370nm锁频的PDH方案： demodulation基本考虑从mini-circuits买mixer、low-pass filter（DC-10MHz）以及phase shifter自己搭；servo control为Monroe组高速PID，但缺少慢速PID。（注：370腔镜的精细度大约1500，故加&gt;40MHz会看到比较好的error signal）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给370nm稳频的阴极灯方案：NIST组的数字lock-in amplifier和PID；TOPTICA dlc pro自带的lock-in和PID。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给871nm稳频的PDH方案：可以考虑TOPTICA mFALC 110模块+信号源或者FALC 110+PDD 110/F模块（注：mFALC具有混频器和高低速PID功能；FALC是高低速PID；PDD110/F具有内置信号源和demodulation功能。）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Laser control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由于对离子进行特定的幺正操控涉及激光的频率和相位参数的设定（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"../review articles/Cold trapped ions as quantum information processors.pdf"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sz w:val="21"/>
          <w:szCs w:val="21"/>
          <w:lang w:val="en-US" w:eastAsia="zh-CN"/>
        </w:rPr>
        <w:t>Cold trapped ions as quantum information processors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），故我们需要通过AOM间接操控这些参数，这等价于设定AOM信号源的频率和相位。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Phase Continuous switching：上一段波形和下一段波形是连续的。这种切换用单个AD9910 dds（</w:t>
      </w:r>
      <w:bookmarkStart w:id="6" w:name="OLE_LINK7"/>
      <w:r>
        <w:rPr>
          <w:rFonts w:hint="eastAsia"/>
          <w:b w:val="0"/>
          <w:bCs w:val="0"/>
          <w:sz w:val="21"/>
          <w:szCs w:val="21"/>
          <w:lang w:val="en-US" w:eastAsia="zh-CN"/>
        </w:rPr>
        <w:t>direct digital synthesizer</w:t>
      </w:r>
      <w:bookmarkEnd w:id="6"/>
      <w:r>
        <w:rPr>
          <w:rFonts w:hint="eastAsia"/>
          <w:b w:val="0"/>
          <w:bCs w:val="0"/>
          <w:sz w:val="21"/>
          <w:szCs w:val="21"/>
          <w:lang w:val="en-US" w:eastAsia="zh-CN"/>
        </w:rPr>
        <w:t>）即能实现，因为AD9910内置相位寄存器，能记录当前的相位，只要在事先对其内置的8个profile寄存器写好信号参数然后做profile切换即可实现phase continuous switching。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Phase coherent switching：上一段波形和下一段波形是断开的。这种情况下，如果用单个dds实现可能需要事先算好切换点的相位然后提前写入到profile寄存器；或者在切换时转换成PARALLEL DATA PORT MODULATION MODE，然后修改信号参数。如果用多个dds则可以比较方便，比如用一个AD9959/AD9958芯片，让内置的多个dds芯片以不同频率同时进行相位累加，在需要切换时让一个dds的DAC输出幅度降为零（即关闭该通道），让另一个的输出幅度设为全幅度（即打开该通道）即可实现phase coherent switching。或者用一个外置的phase accumulator和dds内置的phase accumulator同时运转，当需要切换时将外置的相位寄存器数据写给dds，这样也可以做到切换。</w:t>
      </w:r>
      <w:bookmarkStart w:id="7" w:name="_GoBack"/>
      <w:bookmarkEnd w:id="7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701290" cy="2278380"/>
            <wp:effectExtent l="0" t="0" r="3810" b="7620"/>
            <wp:docPr id="3" name="图片 3" descr="微信截图_2017090808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7090808363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MRoman10-Regular">
    <w:altName w:val="AMGD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NimbusRomNo9L-Medi">
    <w:altName w:val="AMGD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imes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Courier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MBX12">
    <w:altName w:val="AMGD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 Neu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T San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yriadPro-Bold">
    <w:altName w:val="AMGD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08B00"/>
    <w:multiLevelType w:val="singleLevel"/>
    <w:tmpl w:val="59508B0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508ECB"/>
    <w:multiLevelType w:val="singleLevel"/>
    <w:tmpl w:val="59508ECB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950976A"/>
    <w:multiLevelType w:val="singleLevel"/>
    <w:tmpl w:val="5950976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50A22F"/>
    <w:multiLevelType w:val="singleLevel"/>
    <w:tmpl w:val="5950A22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9A11961"/>
    <w:multiLevelType w:val="singleLevel"/>
    <w:tmpl w:val="59A11961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B1EB00"/>
    <w:multiLevelType w:val="singleLevel"/>
    <w:tmpl w:val="59B1EB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1499F"/>
    <w:rsid w:val="16131704"/>
    <w:rsid w:val="278F7779"/>
    <w:rsid w:val="28F84476"/>
    <w:rsid w:val="324E03D5"/>
    <w:rsid w:val="399C188C"/>
    <w:rsid w:val="416D6295"/>
    <w:rsid w:val="503131B3"/>
    <w:rsid w:val="63DD5416"/>
    <w:rsid w:val="759319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customStyle="1" w:styleId="7">
    <w:name w:val="MathematicaCellOutpu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" w:hAnsi="Times" w:eastAsia="Times" w:cstheme="minorBidi"/>
      <w:sz w:val="26"/>
    </w:rPr>
  </w:style>
  <w:style w:type="character" w:customStyle="1" w:styleId="8">
    <w:name w:val="MathematicaFormatStandardForm"/>
    <w:unhideWhenUsed/>
    <w:qFormat/>
    <w:uiPriority w:val="99"/>
    <w:rPr>
      <w:rFonts w:hint="eastAsia" w:ascii="Courier" w:hAnsi="Courier" w:eastAsia="Courier"/>
      <w:sz w:val="24"/>
    </w:rPr>
  </w:style>
  <w:style w:type="paragraph" w:customStyle="1" w:styleId="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 New Roman" w:hAnsi="Times New Roman" w:eastAsia="Times New Roman" w:cstheme="minorBidi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oleObject" Target="embeddings/oleObject3.bin"/><Relationship Id="rId89" Type="http://schemas.openxmlformats.org/officeDocument/2006/relationships/image" Target="media/image50.png"/><Relationship Id="rId88" Type="http://schemas.openxmlformats.org/officeDocument/2006/relationships/image" Target="media/image49.wmf"/><Relationship Id="rId87" Type="http://schemas.openxmlformats.org/officeDocument/2006/relationships/oleObject" Target="embeddings/oleObject36.bin"/><Relationship Id="rId86" Type="http://schemas.openxmlformats.org/officeDocument/2006/relationships/image" Target="media/image48.wmf"/><Relationship Id="rId85" Type="http://schemas.openxmlformats.org/officeDocument/2006/relationships/oleObject" Target="embeddings/oleObject35.bin"/><Relationship Id="rId84" Type="http://schemas.openxmlformats.org/officeDocument/2006/relationships/image" Target="media/image47.wmf"/><Relationship Id="rId83" Type="http://schemas.openxmlformats.org/officeDocument/2006/relationships/oleObject" Target="embeddings/oleObject34.bin"/><Relationship Id="rId82" Type="http://schemas.openxmlformats.org/officeDocument/2006/relationships/image" Target="media/image46.wmf"/><Relationship Id="rId81" Type="http://schemas.openxmlformats.org/officeDocument/2006/relationships/oleObject" Target="embeddings/oleObject33.bin"/><Relationship Id="rId80" Type="http://schemas.openxmlformats.org/officeDocument/2006/relationships/image" Target="media/image45.wmf"/><Relationship Id="rId8" Type="http://schemas.openxmlformats.org/officeDocument/2006/relationships/image" Target="media/image3.wmf"/><Relationship Id="rId79" Type="http://schemas.openxmlformats.org/officeDocument/2006/relationships/oleObject" Target="embeddings/oleObject32.bin"/><Relationship Id="rId78" Type="http://schemas.openxmlformats.org/officeDocument/2006/relationships/image" Target="media/image44.wmf"/><Relationship Id="rId77" Type="http://schemas.openxmlformats.org/officeDocument/2006/relationships/oleObject" Target="embeddings/oleObject31.bin"/><Relationship Id="rId76" Type="http://schemas.openxmlformats.org/officeDocument/2006/relationships/image" Target="media/image43.wmf"/><Relationship Id="rId75" Type="http://schemas.openxmlformats.org/officeDocument/2006/relationships/oleObject" Target="embeddings/oleObject30.bin"/><Relationship Id="rId74" Type="http://schemas.openxmlformats.org/officeDocument/2006/relationships/image" Target="media/image42.png"/><Relationship Id="rId73" Type="http://schemas.openxmlformats.org/officeDocument/2006/relationships/image" Target="media/image41.png"/><Relationship Id="rId72" Type="http://schemas.openxmlformats.org/officeDocument/2006/relationships/image" Target="media/image40.png"/><Relationship Id="rId71" Type="http://schemas.openxmlformats.org/officeDocument/2006/relationships/image" Target="media/image39.png"/><Relationship Id="rId70" Type="http://schemas.openxmlformats.org/officeDocument/2006/relationships/image" Target="media/image38.png"/><Relationship Id="rId7" Type="http://schemas.openxmlformats.org/officeDocument/2006/relationships/oleObject" Target="embeddings/oleObject2.bin"/><Relationship Id="rId69" Type="http://schemas.openxmlformats.org/officeDocument/2006/relationships/image" Target="media/image37.png"/><Relationship Id="rId68" Type="http://schemas.openxmlformats.org/officeDocument/2006/relationships/image" Target="media/image36.png"/><Relationship Id="rId67" Type="http://schemas.openxmlformats.org/officeDocument/2006/relationships/image" Target="media/image35.png"/><Relationship Id="rId66" Type="http://schemas.openxmlformats.org/officeDocument/2006/relationships/image" Target="media/image34.png"/><Relationship Id="rId65" Type="http://schemas.openxmlformats.org/officeDocument/2006/relationships/image" Target="media/image33.emf"/><Relationship Id="rId64" Type="http://schemas.openxmlformats.org/officeDocument/2006/relationships/image" Target="media/image32.wmf"/><Relationship Id="rId63" Type="http://schemas.openxmlformats.org/officeDocument/2006/relationships/oleObject" Target="embeddings/oleObject29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8.bin"/><Relationship Id="rId60" Type="http://schemas.openxmlformats.org/officeDocument/2006/relationships/image" Target="media/image30.wmf"/><Relationship Id="rId6" Type="http://schemas.openxmlformats.org/officeDocument/2006/relationships/image" Target="media/image2.wmf"/><Relationship Id="rId59" Type="http://schemas.openxmlformats.org/officeDocument/2006/relationships/oleObject" Target="embeddings/oleObject27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6.bin"/><Relationship Id="rId56" Type="http://schemas.openxmlformats.org/officeDocument/2006/relationships/oleObject" Target="embeddings/oleObject25.bin"/><Relationship Id="rId55" Type="http://schemas.openxmlformats.org/officeDocument/2006/relationships/image" Target="media/image28.wmf"/><Relationship Id="rId54" Type="http://schemas.openxmlformats.org/officeDocument/2006/relationships/oleObject" Target="embeddings/oleObject24.bin"/><Relationship Id="rId53" Type="http://schemas.openxmlformats.org/officeDocument/2006/relationships/image" Target="media/image27.wmf"/><Relationship Id="rId52" Type="http://schemas.openxmlformats.org/officeDocument/2006/relationships/oleObject" Target="embeddings/oleObject23.bin"/><Relationship Id="rId51" Type="http://schemas.openxmlformats.org/officeDocument/2006/relationships/image" Target="media/image26.wmf"/><Relationship Id="rId50" Type="http://schemas.openxmlformats.org/officeDocument/2006/relationships/oleObject" Target="embeddings/oleObject22.bin"/><Relationship Id="rId5" Type="http://schemas.openxmlformats.org/officeDocument/2006/relationships/oleObject" Target="embeddings/oleObject1.bin"/><Relationship Id="rId49" Type="http://schemas.openxmlformats.org/officeDocument/2006/relationships/image" Target="media/image25.wmf"/><Relationship Id="rId48" Type="http://schemas.openxmlformats.org/officeDocument/2006/relationships/oleObject" Target="embeddings/oleObject21.bin"/><Relationship Id="rId47" Type="http://schemas.openxmlformats.org/officeDocument/2006/relationships/image" Target="media/image24.png"/><Relationship Id="rId46" Type="http://schemas.openxmlformats.org/officeDocument/2006/relationships/image" Target="media/image23.png"/><Relationship Id="rId45" Type="http://schemas.openxmlformats.org/officeDocument/2006/relationships/image" Target="media/image22.wmf"/><Relationship Id="rId44" Type="http://schemas.openxmlformats.org/officeDocument/2006/relationships/oleObject" Target="embeddings/oleObject20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8.bin"/><Relationship Id="rId4" Type="http://schemas.openxmlformats.org/officeDocument/2006/relationships/image" Target="media/image1.png"/><Relationship Id="rId39" Type="http://schemas.openxmlformats.org/officeDocument/2006/relationships/image" Target="media/image19.wmf"/><Relationship Id="rId38" Type="http://schemas.openxmlformats.org/officeDocument/2006/relationships/oleObject" Target="embeddings/oleObject17.bin"/><Relationship Id="rId37" Type="http://schemas.openxmlformats.org/officeDocument/2006/relationships/image" Target="media/image18.wmf"/><Relationship Id="rId36" Type="http://schemas.openxmlformats.org/officeDocument/2006/relationships/oleObject" Target="embeddings/oleObject16.bin"/><Relationship Id="rId35" Type="http://schemas.openxmlformats.org/officeDocument/2006/relationships/image" Target="media/image17.wmf"/><Relationship Id="rId34" Type="http://schemas.openxmlformats.org/officeDocument/2006/relationships/oleObject" Target="embeddings/oleObject15.bin"/><Relationship Id="rId33" Type="http://schemas.openxmlformats.org/officeDocument/2006/relationships/image" Target="media/image16.wmf"/><Relationship Id="rId32" Type="http://schemas.openxmlformats.org/officeDocument/2006/relationships/oleObject" Target="embeddings/oleObject14.bin"/><Relationship Id="rId31" Type="http://schemas.openxmlformats.org/officeDocument/2006/relationships/image" Target="media/image15.w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4.wmf"/><Relationship Id="rId28" Type="http://schemas.openxmlformats.org/officeDocument/2006/relationships/oleObject" Target="embeddings/oleObject12.bin"/><Relationship Id="rId27" Type="http://schemas.openxmlformats.org/officeDocument/2006/relationships/image" Target="media/image13.wmf"/><Relationship Id="rId26" Type="http://schemas.openxmlformats.org/officeDocument/2006/relationships/oleObject" Target="embeddings/oleObject11.bin"/><Relationship Id="rId25" Type="http://schemas.openxmlformats.org/officeDocument/2006/relationships/image" Target="media/image12.w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png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2017-06-22T11:12:00Z</dcterms:created>
  <dc:creator>Administrator</dc:creator>
  <cp:lastModifiedBy>Administrator</cp:lastModifiedBy>
  <dcterms:modified xsi:type="dcterms:W3CDTF">2017-09-08T01:20:46Z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