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701" w:lineRule="exact"/>
      </w:pPr>
      <w:r>
        <w:rPr>
          <w:rFonts w:ascii="微软雅黑" w:hAnsi="微软雅黑" w:eastAsia="微软雅黑"/>
          <w:b w:val="0"/>
          <w:i w:val="0"/>
          <w:color w:val="3A2C16"/>
          <w:sz w:val="2"/>
        </w:rPr>
        <w:t xml:space="preserve"> </w:t>
      </w:r>
    </w:p>
    <w:p>
      <w:pPr>
        <w:spacing w:before="0" w:after="28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9"/>
        </w:rPr>
        <w:t>2026 深圳国际金融科技大赛 · 人工智能赛道（AI Banking）</w:t>
      </w:r>
    </w:p>
    <w:p>
      <w:pPr>
        <w:spacing w:before="0" w:after="200" w:line="300" w:lineRule="auto"/>
        <w:ind w:firstLine="0"/>
        <w:jc w:val="center"/>
      </w:pPr>
      <w:r>
        <w:rPr>
          <w:rFonts w:ascii="微软雅黑" w:hAnsi="微软雅黑" w:eastAsia="微软雅黑"/>
          <w:b/>
          <w:i w:val="0"/>
          <w:color w:val="3A2C16"/>
          <w:sz w:val="52"/>
        </w:rPr>
        <w:t>财小全 · AI 财务中枢</w:t>
      </w:r>
    </w:p>
    <w:p>
      <w:pPr>
        <w:spacing w:before="0" w:after="320" w:line="31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6419"/>
          <w:sz w:val="27"/>
        </w:rPr>
        <w:t>安全自评报告：权限分级实现 · 资金安全 · 已知风险清单</w:t>
      </w:r>
    </w:p>
    <w:p>
      <w:pPr>
        <w:spacing w:before="0" w:after="0" w:line="420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5C4E33"/>
          <w:sz w:val="21"/>
        </w:rPr>
        <w:t>评估对象：财小全-比赛修正版_修复版.html（V1.1 比赛提交版）</w:t>
        <w:br/>
        <w:t>评估方式：源码审计 + 威胁建模 + 定向用例 + 数据流分析</w:t>
        <w:br/>
        <w:t>自评结论：原型边界内无高危未缓解项；上线前须完成后端化改造</w:t>
      </w:r>
    </w:p>
    <w:p>
      <w:pPr>
        <w:spacing w:before="0" w:after="0" w:line="2381" w:lineRule="exact"/>
      </w:pPr>
      <w:r>
        <w:rPr>
          <w:rFonts w:ascii="微软雅黑" w:hAnsi="微软雅黑" w:eastAsia="微软雅黑"/>
          <w:b w:val="0"/>
          <w:i w:val="0"/>
          <w:color w:val="3A2C16"/>
          <w:sz w:val="2"/>
        </w:rPr>
        <w:t xml:space="preserve"> </w:t>
      </w:r>
    </w:p>
    <w:p>
      <w:pPr>
        <w:spacing w:before="0" w:after="8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9"/>
        </w:rPr>
        <w:t>文档编号　CXQ-SEC-2026-001　　版本　V1.1（比赛提交版）</w:t>
      </w:r>
    </w:p>
    <w:p>
      <w:pPr>
        <w:spacing w:before="0" w:after="8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9"/>
        </w:rPr>
        <w:t>编制　财小全 · 账税贷保全维财务中枢团队　　日期　2026 年 10 月 28 日</w:t>
      </w:r>
    </w:p>
    <w:p>
      <w:pPr>
        <w:spacing w:before="0" w:after="0" w:line="1474" w:lineRule="exact"/>
      </w:pPr>
      <w:r>
        <w:rPr>
          <w:rFonts w:ascii="微软雅黑" w:hAnsi="微软雅黑" w:eastAsia="微软雅黑"/>
          <w:b w:val="0"/>
          <w:i w:val="0"/>
          <w:color w:val="3A2C16"/>
          <w:sz w:val="2"/>
        </w:rPr>
        <w:t xml:space="preserve"> </w:t>
      </w:r>
    </w:p>
    <w:p>
      <w:r>
        <w:br w:type="page"/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</w:r>
      <w:r>
        <w:rPr>
          <w:rFonts w:ascii="微软雅黑" w:hAnsi="微软雅黑" w:eastAsia="微软雅黑"/>
          <w:b/>
          <w:i w:val="0"/>
          <w:color w:val="3A2C16"/>
          <w:sz w:val="30"/>
        </w:rPr>
        <w:t>文档信息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204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8"/>
              </w:rPr>
              <w:t>项目</w:t>
            </w:r>
          </w:p>
        </w:tc>
        <w:tc>
          <w:tcPr>
            <w:tcW w:type="dxa" w:w="7030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文档名称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《财小全 · AI 财务中枢 安全自评报告》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文档编号 / 版本</w:t>
            </w:r>
          </w:p>
        </w:tc>
        <w:tc>
          <w:tcPr>
            <w:tcW w:type="dxa" w:w="703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CXQ-SEC-2026-001 / V1.1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评估对象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财小全-比赛修正版_修复版.html（单文件，376.8 KB）及导入导出功能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评估范围</w:t>
            </w:r>
          </w:p>
        </w:tc>
        <w:tc>
          <w:tcPr>
            <w:tcW w:type="dxa" w:w="703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权限分级、资金与交易安全、数据隐私、内容安全、审计追溯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评估方法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源码逐函数审计、STRIDE 威胁建模、定向逻辑用例、数据流分析、配置核查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风险统计</w:t>
            </w:r>
          </w:p>
        </w:tc>
        <w:tc>
          <w:tcPr>
            <w:tcW w:type="dxa" w:w="703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共识别 15 项：高 0 项、中高 2 项、中 8 项、低 5 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报告性质</w:t>
            </w:r>
          </w:p>
        </w:tc>
        <w:tc>
          <w:tcPr>
            <w:tcW w:type="dxa" w:w="703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项目团队自评，非第三方安全审计；不构成任何监管合规认证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配套材料</w:t>
            </w:r>
          </w:p>
        </w:tc>
        <w:tc>
          <w:tcPr>
            <w:tcW w:type="dxa" w:w="703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01 技术文档；03 源代码与部署材料（含验收清单与审查记录）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13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8"/>
              </w:rPr>
              <w:t>版本</w:t>
            </w:r>
          </w:p>
        </w:tc>
        <w:tc>
          <w:tcPr>
            <w:tcW w:type="dxa" w:w="170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8"/>
              </w:rPr>
              <w:t>日期</w:t>
            </w:r>
          </w:p>
        </w:tc>
        <w:tc>
          <w:tcPr>
            <w:tcW w:type="dxa" w:w="6236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8"/>
              </w:rPr>
              <w:t>修订内容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V1.0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2026-10-26</w:t>
            </w:r>
          </w:p>
        </w:tc>
        <w:tc>
          <w:tcPr>
            <w:tcW w:type="dxa" w:w="6236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首次成稿：权限实现、资金安全、隐私、风险清单与整改计划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V1.1</w:t>
            </w:r>
          </w:p>
        </w:tc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2026-10-28</w:t>
            </w:r>
          </w:p>
        </w:tc>
        <w:tc>
          <w:tcPr>
            <w:tcW w:type="dxa" w:w="6236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8"/>
              </w:rPr>
              <w:t>按修复版源码重评：补入 CSV 导出公式注入、JSON 全局覆盖、账号会话隔离、存储结构容错、删除二次确认重验；风险清单按现状重新分级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阅读说明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本报告遵循「先说明边界、再说明控制、最后说清残余风险」的顺序。凡未在原型中真实实现的控制，一律标注为「方案层设计 / 待落地」，不与已实现的控制混写。凡未完成的验证，明确写「未完成」，不写成通过。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一、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评估范围与方法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1.1　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83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资产 / 环节</w:t>
            </w:r>
          </w:p>
        </w:tc>
        <w:tc>
          <w:tcPr>
            <w:tcW w:type="dxa" w:w="170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是否在范围</w:t>
            </w:r>
          </w:p>
        </w:tc>
        <w:tc>
          <w:tcPr>
            <w:tcW w:type="dxa" w:w="453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单文件应用（路由、测算、渲染）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在范围内</w:t>
            </w:r>
          </w:p>
        </w:tc>
        <w:tc>
          <w:tcPr>
            <w:tcW w:type="dxa" w:w="45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逐函数审计，含权限、资金、反诈、审计模块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本机浏览器存储（12 个键）</w:t>
            </w:r>
          </w:p>
        </w:tc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在范围内</w:t>
            </w:r>
          </w:p>
        </w:tc>
        <w:tc>
          <w:tcPr>
            <w:tcW w:type="dxa" w:w="45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含数据归属、导出导入、结构容错；密钥另存会话级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模型调用链路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在范围内</w:t>
            </w:r>
          </w:p>
        </w:tc>
        <w:tc>
          <w:tcPr>
            <w:tcW w:type="dxa" w:w="45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含上下文装配、脱敏、错误处理与降级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静态托管与转发配置</w:t>
            </w:r>
          </w:p>
        </w:tc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部分在范围</w:t>
            </w:r>
          </w:p>
        </w:tc>
        <w:tc>
          <w:tcPr>
            <w:tcW w:type="dxa" w:w="45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仅评估配置建议，不评估云平台自身安全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真实银行核心、支付清算、持牌代销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不在范围</w:t>
            </w:r>
          </w:p>
        </w:tc>
        <w:tc>
          <w:tcPr>
            <w:tcW w:type="dxa" w:w="45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原型不接入，也不具备接入能力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第三方模型服务商内部</w:t>
            </w:r>
          </w:p>
        </w:tc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不在范围</w:t>
            </w:r>
          </w:p>
        </w:tc>
        <w:tc>
          <w:tcPr>
            <w:tcW w:type="dxa" w:w="453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仅评估传输与数据暴露面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服务端数据库</w:t>
            </w:r>
          </w:p>
        </w:tc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不在范围</w:t>
            </w:r>
          </w:p>
        </w:tc>
        <w:tc>
          <w:tcPr>
            <w:tcW w:type="dxa" w:w="453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当前版本未部署任何数据库服务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1.2　评估依据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70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类别</w:t>
            </w:r>
          </w:p>
        </w:tc>
        <w:tc>
          <w:tcPr>
            <w:tcW w:type="dxa" w:w="430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依据</w:t>
            </w:r>
          </w:p>
        </w:tc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金融数据</w:t>
            </w:r>
          </w:p>
        </w:tc>
        <w:tc>
          <w:tcPr>
            <w:tcW w:type="dxa" w:w="43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《金融数据安全 数据安全分级指南》JR/T 0197—2020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参照分级思路对数据项定级，不等同监管认定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个人金融信息</w:t>
            </w:r>
          </w:p>
        </w:tc>
        <w:tc>
          <w:tcPr>
            <w:tcW w:type="dxa" w:w="43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《个人金融信息保护技术规范》JR/T 0171—2020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对照最小必要、加密传输、访问控制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个人信息</w:t>
            </w:r>
          </w:p>
        </w:tc>
        <w:tc>
          <w:tcPr>
            <w:tcW w:type="dxa" w:w="43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《中华人民共和国个人信息保护法》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对照告知同意、目的限定、可删除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数据安全</w:t>
            </w:r>
          </w:p>
        </w:tc>
        <w:tc>
          <w:tcPr>
            <w:tcW w:type="dxa" w:w="43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《中华人民共和国数据安全法》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对照分类分级与安全管理制度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网络安全</w:t>
            </w:r>
          </w:p>
        </w:tc>
        <w:tc>
          <w:tcPr>
            <w:tcW w:type="dxa" w:w="430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《中华人民共和国网络安全法》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对照等级保护思路下的基本防护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赛事要求</w:t>
            </w:r>
          </w:p>
        </w:tc>
        <w:tc>
          <w:tcPr>
            <w:tcW w:type="dxa" w:w="430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大赛 04 安全自评报告提交要求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权限分级实现说明 + 已知风险清单为必备章节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1.3　方法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源码审计：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逐函数检查取数、鉴权、写操作、日志四类路径，确认每条路径的失败行为。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威胁建模：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按 STRIDE 六类威胁梳理攻击面，逐项对应控制。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定向用例：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以自然语言输入驱动路由，断言返回卡片类型、文案关键词与审计记录。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数据流分析：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追踪每个数据项从产生、存储、展示到出网的完整路径。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配置核查：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检查密钥存放、导出内容、脱敏范围与备份行为。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1.4　STRIDE 威胁建模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36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威胁</w:t>
            </w:r>
          </w:p>
        </w:tc>
        <w:tc>
          <w:tcPr>
            <w:tcW w:type="dxa" w:w="260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本项目场景</w:t>
            </w:r>
          </w:p>
        </w:tc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现有控制</w:t>
            </w:r>
          </w:p>
        </w:tc>
        <w:tc>
          <w:tcPr>
            <w:tcW w:type="dxa" w:w="192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残余风险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S 身份伪造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在本机切换账号冒充他人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切换需显式选择模式与账号，身份写入审计；无自动登录态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中：前端无强身份认证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T 数据篡改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直接修改 localStorage 的流水与权限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关键结论本地重算，不缓存结论；非数组结构回退空数组</w:t>
            </w:r>
          </w:p>
        </w:tc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中：无签名校验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R 抵赖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否认曾发起转账或授权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审计链逐条留痕，断链可定位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中：本地日志可被清除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I 信息泄露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模型请求携带账本上下文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卡号/手机号/身份证掩码；上下文仅当前账号</w:t>
            </w:r>
          </w:p>
        </w:tc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中高：脱敏非匿名化，服务商侧不可控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D 拒绝服务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存储配额不足导致写入失败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写入失败明确提示「当前会话 / 已保存」区别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低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E 权限提升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子账号读取薪酬与明细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权限码门控 + 敏感字段拦截 + 技能锁定</w:t>
            </w:r>
          </w:p>
        </w:tc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低：前端可被改代码绕过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二、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数据流与出网边界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数据只走两条路，分界点是「是否配置了模型密钥」。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输入（键盘 / CSV / 粘贴）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本地解析与校验（cxqParseCsv / validIsoDate / applyImportJson）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localStorage（cxf-txns 等 12 键）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本地计算（台账 / 卡片 / 看板 / 审计链）        ← 不出网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>自由提问（长句）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agentIdentity + agentDataContext 装配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cxqMaskSensitive 掩码（卡号 / 手机 / 身份证）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HTTPS POST {base}/chat/completions              ← 唯一出网点</w:t>
      </w:r>
    </w:p>
    <w:p>
      <w:pPr>
        <w:spacing w:before="0" w:after="0" w:line="300" w:lineRule="auto"/>
        <w:ind w:left="420"/>
      </w:pPr>
      <w:r>
        <w:rPr>
          <w:rFonts w:ascii="Consolas" w:hAnsi="Consolas" w:eastAsia="Consolas"/>
          <w:b w:val="0"/>
          <w:i w:val="0"/>
          <w:color w:val="3A2C16"/>
          <w:sz w:val="18"/>
        </w:rPr>
        <w:t xml:space="preserve">  → SSE 逐块渲染，不落盘原始响应</w:t>
      </w:r>
    </w:p>
    <w:p>
      <w:pPr>
        <w:spacing w:before="0" w:after="120" w:line="372" w:lineRule="auto"/>
        <w:ind w:firstLine="0"/>
        <w:jc w:val="lef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26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数据项</w:t>
            </w:r>
          </w:p>
        </w:tc>
        <w:tc>
          <w:tcPr>
            <w:tcW w:type="dxa" w:w="192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本地存储</w:t>
            </w:r>
          </w:p>
        </w:tc>
        <w:tc>
          <w:tcPr>
            <w:tcW w:type="dxa" w:w="260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是否出网</w:t>
            </w:r>
          </w:p>
        </w:tc>
        <w:tc>
          <w:tcPr>
            <w:tcW w:type="dxa" w:w="238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控制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逐笔流水（含商户）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cxf-txns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出网：按上下文摘要（最近 20 笔）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仅当前账号；商户名不脱敏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账本汇总（三个月收支）</w:t>
            </w:r>
          </w:p>
        </w:tc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派生数据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出网：汇总行</w:t>
            </w:r>
          </w:p>
        </w:tc>
        <w:tc>
          <w:tcPr>
            <w:tcW w:type="dxa" w:w="238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仅当前模式与账号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卡号 / 手机 / 身份证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页面模拟数据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掩码后出网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前 4 后 4 / 前 3 后 4 / 前 6 后 4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模型密钥</w:t>
            </w:r>
          </w:p>
        </w:tc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sessionStorage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仅作为 Authorization 头发往所配服务商</w:t>
            </w:r>
          </w:p>
        </w:tc>
        <w:tc>
          <w:tcPr>
            <w:tcW w:type="dxa" w:w="238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不进 localStorage、不进导出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审计记录</w:t>
            </w:r>
          </w:p>
        </w:tc>
        <w:tc>
          <w:tcPr>
            <w:tcW w:type="dxa" w:w="192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cxf-audit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不出网（导出为用户主动下载）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本地文件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备份 JSON</w:t>
            </w:r>
          </w:p>
        </w:tc>
        <w:tc>
          <w:tcPr>
            <w:tcW w:type="dxa" w:w="192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用户主动导出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不出网，除非用户自行上传</w:t>
            </w:r>
          </w:p>
        </w:tc>
        <w:tc>
          <w:tcPr>
            <w:tcW w:type="dxa" w:w="238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导出内容不含密钥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三、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权限分级实现说明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3.1　权限码与账号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权限模型由 3 个权限码、7 个演示账号、18 项技能与三级可见粒度组成。判定函数 hasPerm 的语义是「当前账号的权限集合是否包含所需权限」，默认集合为只读，主账号集合为三者全含。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466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6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72" w:lineRule="auto"/>
        <w:ind w:firstLine="0"/>
        <w:jc w:val="center"/>
      </w:pPr>
      <w:r>
        <w:rPr>
          <w:rFonts w:ascii="微软雅黑" w:hAnsi="微软雅黑" w:eastAsia="微软雅黑"/>
          <w:b w:val="0"/>
          <w:i w:val="0"/>
          <w:color w:val="8A7A57"/>
          <w:sz w:val="17"/>
        </w:rPr>
        <w:t>图 3　7 个账号 × 权限码 × 可见粒度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6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权限码</w:t>
            </w:r>
          </w:p>
        </w:tc>
        <w:tc>
          <w:tcPr>
            <w:tcW w:type="dxa" w:w="510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含义</w:t>
            </w:r>
          </w:p>
        </w:tc>
        <w:tc>
          <w:tcPr>
            <w:tcW w:type="dxa" w:w="272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授予账号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read</w:t>
            </w:r>
          </w:p>
        </w:tc>
        <w:tc>
          <w:tcPr>
            <w:tcW w:type="dxa" w:w="51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只读：可看本账号可见范围内的内容</w:t>
            </w:r>
          </w:p>
        </w:tc>
        <w:tc>
          <w:tcPr>
            <w:tcW w:type="dxa" w:w="272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全部 7 个账号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write</w:t>
            </w:r>
          </w:p>
        </w:tc>
        <w:tc>
          <w:tcPr>
            <w:tcW w:type="dxa" w:w="51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可写：可发起记账、定时、分摊、导出等写操作</w:t>
            </w:r>
          </w:p>
        </w:tc>
        <w:tc>
          <w:tcPr>
            <w:tcW w:type="dxa" w:w="272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operator、self、keeper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main</w:t>
            </w:r>
          </w:p>
        </w:tc>
        <w:tc>
          <w:tcPr>
            <w:tcW w:type="dxa" w:w="51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主账号：可审批与收回子账号授权</w:t>
            </w:r>
          </w:p>
        </w:tc>
        <w:tc>
          <w:tcPr>
            <w:tcW w:type="dxa" w:w="272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operator、self、keeper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3.2　三级可见粒度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粒度</w:t>
            </w:r>
          </w:p>
        </w:tc>
        <w:tc>
          <w:tcPr>
            <w:tcW w:type="dxa" w:w="476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内容</w:t>
            </w:r>
          </w:p>
        </w:tc>
        <w:tc>
          <w:tcPr>
            <w:tcW w:type="dxa" w:w="215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适用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detail（明细）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逐笔流水、凭证号、薪酬、卡号</w:t>
            </w:r>
          </w:p>
        </w:tc>
        <w:tc>
          <w:tcPr>
            <w:tcW w:type="dxa" w:w="215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主账号本人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summary（摘要）</w:t>
            </w:r>
          </w:p>
        </w:tc>
        <w:tc>
          <w:tcPr>
            <w:tcW w:type="dxa" w:w="476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汇总金额、环比、结论摘要，不含逐笔与卡号</w:t>
            </w:r>
          </w:p>
        </w:tc>
        <w:tc>
          <w:tcPr>
            <w:tcW w:type="dxa" w:w="215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投资人、消费成员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conclusion（结论）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测算结论与缺口金额，不含明细</w:t>
            </w:r>
          </w:p>
        </w:tc>
        <w:tc>
          <w:tcPr>
            <w:tcW w:type="dxa" w:w="215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财税顾问、长辈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3.3　拦截点与失败行为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拦截点</w:t>
            </w:r>
          </w:p>
        </w:tc>
        <w:tc>
          <w:tcPr>
            <w:tcW w:type="dxa" w:w="408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实现方式</w:t>
            </w:r>
          </w:p>
        </w:tc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失败行为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技能门控</w:t>
            </w:r>
          </w:p>
        </w:tc>
        <w:tc>
          <w:tcPr>
            <w:tcW w:type="dxa" w:w="408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launchSkill 先查 hasPerm(skill.perm)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锁定态 + 提示申请 + 写「技能被拒绝」审计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敏感字段问询</w:t>
            </w:r>
          </w:p>
        </w:tc>
        <w:tc>
          <w:tcPr>
            <w:tcW w:type="dxa" w:w="408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子账号 + 工资/薪酬/员工/明细流水/卡号/逐笔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拒绝卡，说明授权范围，建议切换主账号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资金动作发起</w:t>
            </w:r>
          </w:p>
        </w:tc>
        <w:tc>
          <w:tcPr>
            <w:tcW w:type="dxa" w:w="408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转账/定时/分摊前校验账号类型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子账号一律转越权提示，不生成单据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定时任务读取</w:t>
            </w:r>
          </w:p>
        </w:tc>
        <w:tc>
          <w:tcPr>
            <w:tcW w:type="dxa" w:w="408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findSched 同时校验 id 与 owner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非本人任务不可见、不可改、不可删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分摊单读取</w:t>
            </w:r>
          </w:p>
        </w:tc>
        <w:tc>
          <w:tcPr>
            <w:tcW w:type="dxa" w:w="408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findBill 校验单据模式与成员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跨模式、跨成员单据不可见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数据源守卫</w:t>
            </w:r>
          </w:p>
        </w:tc>
        <w:tc>
          <w:tcPr>
            <w:tcW w:type="dxa" w:w="408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myTxns / ledger / sharedLedger 以 acctKey 取数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其他模式与其他账号数据不进入上下文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会话与草稿</w:t>
            </w:r>
          </w:p>
        </w:tc>
        <w:tc>
          <w:tcPr>
            <w:tcW w:type="dxa" w:w="408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setAccount 先存草稿，再载入目标账号；无会话则置空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不继承上一账号的会话标识与草稿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3.4　权限分级的边界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这套分级是「前端演示隔离」：它保证同一份演示数据在七个身份之间不串号、不越界，也让评审能直观看到最小授权如何工作。但它不是服务器授权——任何人拿到 HTML 都可以修改脚本或本地存储。真正的权限控制必须放在后端，这一点在第九章列为 R01。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四、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资金与交易安全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4.1　转账不是执行，是生成单据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转账链路分四步：解析金额（支持阿拉伯数字、万千单位与中文数字）、解析收款人、解析备注、生成待确认单并落盘为草稿。金额缺失时不猜测、不默认，直接返回「信息不全」并给出示例句式。用户确认后只生成一条待办指令，并提示到银行 App 自行完成，全程不经手资金。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风险等级</w:t>
            </w:r>
          </w:p>
        </w:tc>
        <w:tc>
          <w:tcPr>
            <w:tcW w:type="dxa" w:w="419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触发条件</w:t>
            </w:r>
          </w:p>
        </w:tc>
        <w:tc>
          <w:tcPr>
            <w:tcW w:type="dxa" w:w="340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处置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低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小额且收款人在白名单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一句提醒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中</w:t>
            </w:r>
          </w:p>
        </w:tc>
        <w:tc>
          <w:tcPr>
            <w:tcW w:type="dxa" w:w="419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首次收款人或金额接近上限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弹二次确认卡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高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陌生账户或超过单笔上限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要求实名核对，仍不执行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拦截</w:t>
            </w:r>
          </w:p>
        </w:tc>
        <w:tc>
          <w:tcPr>
            <w:tcW w:type="dxa" w:w="419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命中电诈话术或注入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直接拦死，写风险审计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方案层预留三个风控参数：收款人白名单 payee_whitelist、单笔确认上限 single_confirm_limit（默认 10,000）、日累计上限 daily_out_limit。当前为演示参数，未接入真实通道。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4.2　写操作确认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cxqDetectWrite 覆盖转账、挂失、冻结卡、申购、赎回、退订、取消订阅、购买理财等动作，命中后一律进入 cxqProposeWrite → 二次确认，不自动执行。删除流水同样二次确认，且在确认回调里重新校验索引、账号归属、日期、商户、金额与类型——若记录已变化则取消删除并要求刷新列表，避免弹窗期间数据变化导致误删。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4.3　不做的三件事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不推销：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不推荐具体理财产品，不出现收益率与购买入口；只给「留多少、放哪里」的方向性比例。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不代客：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不执行转账、不开通账户、不代客操作；所有资金动作止于待办。</w:t>
      </w:r>
    </w:p>
    <w:p>
      <w:pPr>
        <w:spacing w:before="0" w:after="60" w:line="360" w:lineRule="auto"/>
        <w:ind w:left="420" w:hanging="210"/>
      </w:pPr>
      <w:r>
        <w:rPr>
          <w:rFonts w:ascii="微软雅黑" w:hAnsi="微软雅黑" w:eastAsia="微软雅黑"/>
          <w:b/>
          <w:i w:val="0"/>
          <w:color w:val="C99B3D"/>
          <w:sz w:val="21"/>
        </w:rPr>
        <w:t xml:space="preserve">· </w:t>
      </w:r>
      <w:r>
        <w:rPr>
          <w:rFonts w:ascii="微软雅黑" w:hAnsi="微软雅黑" w:eastAsia="微软雅黑"/>
          <w:b/>
          <w:i w:val="0"/>
          <w:color w:val="3A2C16"/>
          <w:sz w:val="21"/>
        </w:rPr>
        <w:t>不承诺：</w:t>
      </w:r>
      <w:r>
        <w:rPr>
          <w:rFonts w:ascii="微软雅黑" w:hAnsi="微软雅黑" w:eastAsia="微软雅黑"/>
          <w:b w:val="0"/>
          <w:i w:val="0"/>
          <w:color w:val="2B2118"/>
          <w:sz w:val="21"/>
        </w:rPr>
        <w:t>不承诺额度、利率与通过率；信贷卡片只摆指标与结论。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五、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数据隐私保护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5.1　存储与删除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流水、任务、分摊单、贷款方案、草稿、审计记录全部落在本机 localStorage 的 12 个键内，不上传、不同步；清除浏览器数据即彻底清除。模型密钥单独放 sessionStorage，关闭标签页即失效；历史版本的长期存储密钥会在读取时迁移并清除明文。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5.2　最小必要与脱敏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上下文只装配当前账号可见的数据；子账号只附结论层汇总。发往模型的文本统一过 cxqMaskSensitive：卡号保留前 4 后 4、手机号保留前 3 后 4、身份证保留前 6 后 4。商户名与金额不脱敏——这是让模型能回答「哪笔账有问题」的必要信息，也构成一项需要披露的残余风险。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5.3　导出与备份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账单导出经 cxqCsvCell：双引号转义，并以 = + - @ 开头的文本前置单引号，防止电子表格公式注入；金额列保持数值可计算。备份 JSON 不含密钥；恢复属于本机数据全局替换，确认框明确提示会覆盖流水、定时任务与分摊单，恢复后逐集合检查保存状态，部分失败时提示「已恢复到当前会话，但部分本地保存失败」。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六、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内容安全与合规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6.1　提示词注入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cxqDetectInjection 位于全部路由最前，命中即短路，不进入任何业务流程。覆盖「忽略之前/以上/所有指令」「ignore previous」「忘记你的指令/身份」「你现在不再/是」「从现在开始忽略」「绕过 / bypass」「扮演一个」等表达。产出为固定文案的阻断卡，不生成任何可点击的资金按钮，同时写入风险审计。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6.2　七类电诈话术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类型</w:t>
            </w:r>
          </w:p>
        </w:tc>
        <w:tc>
          <w:tcPr>
            <w:tcW w:type="dxa" w:w="476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触发特征</w:t>
            </w:r>
          </w:p>
        </w:tc>
        <w:tc>
          <w:tcPr>
            <w:tcW w:type="dxa" w:w="249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处置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冒充客服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自称银行/电商/平台客服，且出现提额、注销账号、账户异常或冻结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拦截 + 96110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安全账户</w:t>
            </w:r>
          </w:p>
        </w:tc>
        <w:tc>
          <w:tcPr>
            <w:tcW w:type="dxa" w:w="476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出现安全账户/指定账户/监管账户，且伴随转、汇、打款、存</w:t>
            </w:r>
          </w:p>
        </w:tc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拦截 + 96110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涉案恐吓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涉嫌/涉案 + 洗钱、诈骗、违法、犯罪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拦截 + 96110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理赔 / 社保异常</w:t>
            </w:r>
          </w:p>
        </w:tc>
        <w:tc>
          <w:tcPr>
            <w:tcW w:type="dxa" w:w="476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快递理赔、包裹理赔、社保卡或医保卡异常，且要求配合、核实、解冻、加微信、点链接</w:t>
            </w:r>
          </w:p>
        </w:tc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拦截 + 96110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要求保密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不要/别/不能 + 告诉/联系 + 家人、父母、警察、银行、柜员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拦截 + 96110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屏幕共享</w:t>
            </w:r>
          </w:p>
        </w:tc>
        <w:tc>
          <w:tcPr>
            <w:tcW w:type="dxa" w:w="476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屏幕共享/远程控制/远程协助，且伴随转、汇、验证码、账户</w:t>
            </w:r>
          </w:p>
        </w:tc>
        <w:tc>
          <w:tcPr>
            <w:tcW w:type="dxa" w:w="24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拦截 + 96110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偷偷转账</w:t>
            </w:r>
          </w:p>
        </w:tc>
        <w:tc>
          <w:tcPr>
            <w:tcW w:type="dxa" w:w="476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偷偷 + 转/汇/打款/打钱</w:t>
            </w:r>
          </w:p>
        </w:tc>
        <w:tc>
          <w:tcPr>
            <w:tcW w:type="dxa" w:w="24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拦截 + 96110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6.3　合规拒答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理财推荐、资产盘点类请求命中合规红线时，返回固定拒答卡并给出替代路径（资金安排、缺口测算），不输出产品名、收益率与购买渠道。可疑交易扫描的文案明确写了「命中的是演示启发式规则，不等于确认诈骗」「未命中当前规则不代表交易一定安全」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6.4　内容边界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税额卡片固定标注「需核验纳税人身份、业务类型、销售额口径及优惠适用条件，不可直接替代申报结果」；健康分、保障缺口、贷款模拟均标注为演示参数或简化模型；长辈视图不出现分数术语与资金入口。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七、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审计与可追溯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7.1　记录结构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170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字段</w:t>
            </w:r>
          </w:p>
        </w:tc>
        <w:tc>
          <w:tcPr>
            <w:tcW w:type="dxa" w:w="7370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t</w:t>
            </w:r>
          </w:p>
        </w:tc>
        <w:tc>
          <w:tcPr>
            <w:tcW w:type="dxa" w:w="737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时间戳（本地格式化）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action</w:t>
            </w:r>
          </w:p>
        </w:tc>
        <w:tc>
          <w:tcPr>
            <w:tcW w:type="dxa" w:w="737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动作名，如「启用技能」「风险·钓鱼话术拦截」「导出账单CSV」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obj</w:t>
            </w:r>
          </w:p>
        </w:tc>
        <w:tc>
          <w:tcPr>
            <w:tcW w:type="dxa" w:w="737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对象与被操作内容的摘要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prev</w:t>
            </w:r>
          </w:p>
        </w:tc>
        <w:tc>
          <w:tcPr>
            <w:tcW w:type="dxa" w:w="7370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前一条记录的哈希，形成链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h</w:t>
            </w:r>
          </w:p>
        </w:tc>
        <w:tc>
          <w:tcPr>
            <w:tcW w:type="dxa" w:w="7370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本条哈希 = FNV-1a 32 位(prev + 时间 + 动作 + 对象)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7.2　完整性校验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verifyAuditChain() 从链头逐条重算：prev 不匹配或哈希不匹配即返回断点位置（第几条 / 共几条）。初始化时恢复链头并校验历史链，刷新页面后不会出现「链头丢失但记录继续写」的错位。导出审计报告时附链状态，便于评审现场核对。</w:t>
      </w:r>
    </w:p>
    <w:p>
      <w:pPr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8A6419"/>
          <w:sz w:val="25"/>
        </w:rPr>
        <w:t>7.3　能力边界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cxqHash 是 32 位非密码学哈希，浏览器本地日志可被用户清除或修改。它适合演示中的链式留痕与断链定位，不适合宣传为银行级、不可篡改或法律级审计。生产级实现需要服务端签名、权限控制、可信时间源与独立日志存储——本版按演示定位未重构，列为 R04。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八、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测试与验证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检查项</w:t>
            </w:r>
          </w:p>
        </w:tc>
        <w:tc>
          <w:tcPr>
            <w:tcW w:type="dxa" w:w="419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方法</w:t>
            </w:r>
          </w:p>
        </w:tc>
        <w:tc>
          <w:tcPr>
            <w:tcW w:type="dxa" w:w="317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内联 JavaScript 语法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new Function 解析（不执行）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静态 id 唯一性</w:t>
            </w:r>
          </w:p>
        </w:tc>
        <w:tc>
          <w:tcPr>
            <w:tcW w:type="dxa" w:w="419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全文比对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93 个，重复 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流水归月定向用例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覆盖有效月份、跨年份、窗口外、无日期、无年份、非法月份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CSV 导出转义</w:t>
            </w:r>
          </w:p>
        </w:tc>
        <w:tc>
          <w:tcPr>
            <w:tcW w:type="dxa" w:w="419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代码审查 + 语法检查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已实现；Excel/WPS 显示差异未实测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健康分自检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checkCalcs()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浏览器端到端</w:t>
            </w:r>
          </w:p>
        </w:tc>
        <w:tc>
          <w:tcPr>
            <w:tcW w:type="dxa" w:w="419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Playwright / Chromium</w:t>
            </w:r>
          </w:p>
        </w:tc>
        <w:tc>
          <w:tcPr>
            <w:tcW w:type="dxa" w:w="317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未完成（环境策略阻断），不计为通过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恶意篡改审计链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构造断链场景</w:t>
            </w:r>
          </w:p>
        </w:tc>
        <w:tc>
          <w:tcPr>
            <w:tcW w:type="dxa" w:w="317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未做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本报告不把静态检查通过写成全部实测通过。随包的《测试用例清单》覆盖账号切换、导入导出、备份恢复、贷款方案、审计刷新与移动端布局，供人工逐项记录。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九、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已知风险清单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79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5"/>
              </w:rPr>
              <w:t>编号</w:t>
            </w:r>
          </w:p>
        </w:tc>
        <w:tc>
          <w:tcPr>
            <w:tcW w:type="dxa" w:w="306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5"/>
              </w:rPr>
              <w:t>风险</w:t>
            </w:r>
          </w:p>
        </w:tc>
        <w:tc>
          <w:tcPr>
            <w:tcW w:type="dxa" w:w="794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5"/>
              </w:rPr>
              <w:t>等级</w:t>
            </w:r>
          </w:p>
        </w:tc>
        <w:tc>
          <w:tcPr>
            <w:tcW w:type="dxa" w:w="260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5"/>
              </w:rPr>
              <w:t>现有控制</w:t>
            </w:r>
          </w:p>
        </w:tc>
        <w:tc>
          <w:tcPr>
            <w:tcW w:type="dxa" w:w="238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5"/>
              </w:rPr>
              <w:t>残余风险 / 整改方向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R01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前端身份可切换，无强认证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中高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显式选择账号、身份写审计、最小授权门控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改代码即可绕过；需后端鉴权（P1）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R02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模型请求携带账本上下文，脱敏非匿名化</w:t>
            </w:r>
          </w:p>
        </w:tc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中高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仅当前账号、卡号/手机/身份证掩码</w:t>
            </w:r>
          </w:p>
        </w:tc>
        <w:tc>
          <w:tcPr>
            <w:tcW w:type="dxa" w:w="238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商户与金额明文；取决于所选服务商（P1）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R03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localStorage 可被本机清除或篡改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中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关键结论本地重算；非数组结构回退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无签名与备份校验；增加导出提醒（P2）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R04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审计链为 32 位非密码学哈希</w:t>
            </w:r>
          </w:p>
        </w:tc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中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链式 prev + 哈希校验、断链定位</w:t>
            </w:r>
          </w:p>
        </w:tc>
        <w:tc>
          <w:tcPr>
            <w:tcW w:type="dxa" w:w="238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本地可改写；服务端签名（P1）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R05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JSON 恢复是全局覆盖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中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确认框提示覆盖范围、恢复前建议备份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可能覆盖其他账号流水；账号级合并（P2）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R06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提前还款为简化等比模型</w:t>
            </w:r>
          </w:p>
        </w:tc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中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展示假设与非正式方案说明</w:t>
            </w:r>
          </w:p>
        </w:tc>
        <w:tc>
          <w:tcPr>
            <w:tcW w:type="dxa" w:w="238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不含合同利息/违约金（P2）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R07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税额为条件化测算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中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卡片注明依据、假设与申报边界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口径变化需重新核验（P2）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R08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健康分、部分基线与税贷模块为预设值</w:t>
            </w:r>
          </w:p>
        </w:tc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中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页面与文档多处披露「独立演示参数」</w:t>
            </w:r>
          </w:p>
        </w:tc>
        <w:tc>
          <w:tcPr>
            <w:tcW w:type="dxa" w:w="238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导入流水不联动重算（P2）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R09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反诈与可疑交易为启发式规则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中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文案说明可能误报漏报、不给确诊结论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非模型风控（P2）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R10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一键演示回滚快照仅在内存</w:t>
            </w:r>
          </w:p>
        </w:tc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低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提示演示后同页退出或先备份</w:t>
            </w:r>
          </w:p>
        </w:tc>
        <w:tc>
          <w:tcPr>
            <w:tcW w:type="dxa" w:w="238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刷新后无法自动回滚（P3）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R11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CSV 解析不支持字段内含换行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低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逐行解析 + 引号转义 + 失败提示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复杂文件可能被拆坏（P3）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R12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CSV 日期要求完整年月日</w:t>
            </w:r>
          </w:p>
        </w:tc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低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缺年份的日期跳过并计数</w:t>
            </w:r>
          </w:p>
        </w:tc>
        <w:tc>
          <w:tcPr>
            <w:tcW w:type="dxa" w:w="238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9/12 类写法不被接收（P3）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R13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Excel/WPS 对前置单引号的显示差异未实测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低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导出统一转义策略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需在目标办公软件回归（P3）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R14</w:t>
            </w:r>
          </w:p>
        </w:tc>
        <w:tc>
          <w:tcPr>
            <w:tcW w:type="dxa" w:w="30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移动端布局与弹窗未完整回归</w:t>
            </w:r>
          </w:p>
        </w:tc>
        <w:tc>
          <w:tcPr>
            <w:tcW w:type="dxa" w:w="794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低</w:t>
            </w:r>
          </w:p>
        </w:tc>
        <w:tc>
          <w:tcPr>
            <w:tcW w:type="dxa" w:w="260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响应式断点与横向滚动处理</w:t>
            </w:r>
          </w:p>
        </w:tc>
        <w:tc>
          <w:tcPr>
            <w:tcW w:type="dxa" w:w="238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需真机验收（P3）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5"/>
              </w:rPr>
              <w:t>R15</w:t>
            </w:r>
          </w:p>
        </w:tc>
        <w:tc>
          <w:tcPr>
            <w:tcW w:type="dxa" w:w="30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浏览器端到端未实测</w:t>
            </w:r>
          </w:p>
        </w:tc>
        <w:tc>
          <w:tcPr>
            <w:tcW w:type="dxa" w:w="794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低</w:t>
            </w:r>
          </w:p>
        </w:tc>
        <w:tc>
          <w:tcPr>
            <w:tcW w:type="dxa" w:w="260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已提供验收清单</w:t>
            </w:r>
          </w:p>
        </w:tc>
        <w:tc>
          <w:tcPr>
            <w:tcW w:type="dxa" w:w="238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5"/>
              </w:rPr>
              <w:t>环境阻断，需人工补测（P3）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风险统计：高 0 项、中高 2 项、中 8 项、低 5 项。两项中高均属架构性限制（前端身份、模型出网），不是代码缺陷，需要后端化才能根治，因此在原型阶段以「明确披露 + 缩小暴露面」处理。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十、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整改计划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04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优先级</w:t>
            </w:r>
          </w:p>
        </w:tc>
        <w:tc>
          <w:tcPr>
            <w:tcW w:type="dxa" w:w="4195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事项</w:t>
            </w:r>
          </w:p>
        </w:tc>
        <w:tc>
          <w:tcPr>
            <w:tcW w:type="dxa" w:w="1361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归属</w:t>
            </w:r>
          </w:p>
        </w:tc>
        <w:tc>
          <w:tcPr>
            <w:tcW w:type="dxa" w:w="2268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6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P0（上线前必做）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后端鉴权与服务端数据权限；审计改服务端签名 + 可信时间源</w:t>
            </w:r>
          </w:p>
        </w:tc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架构</w:t>
            </w:r>
          </w:p>
        </w:tc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越权与篡改在前端无法绕过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P0</w:t>
            </w:r>
          </w:p>
        </w:tc>
        <w:tc>
          <w:tcPr>
            <w:tcW w:type="dxa" w:w="419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模型链路服务端代理，密钥不下发浏览器；上下文最小化</w:t>
            </w:r>
          </w:p>
        </w:tc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架构</w:t>
            </w:r>
          </w:p>
        </w:tc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浏览器侧无可用密钥，出网内容可审计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P1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账号级备份合并、恢复前校验与回滚快照</w:t>
            </w:r>
          </w:p>
        </w:tc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功能</w:t>
            </w:r>
          </w:p>
        </w:tc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恢复失败时原数据完整保留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P1</w:t>
            </w:r>
          </w:p>
        </w:tc>
        <w:tc>
          <w:tcPr>
            <w:tcW w:type="dxa" w:w="419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浏览器端到端回归 + 移动端真机验收</w:t>
            </w:r>
          </w:p>
        </w:tc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测试</w:t>
            </w:r>
          </w:p>
        </w:tc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验收清单全部有结论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P2</w:t>
            </w:r>
          </w:p>
        </w:tc>
        <w:tc>
          <w:tcPr>
            <w:tcW w:type="dxa" w:w="4195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税务口径与贷款模型接入正式参数源</w:t>
            </w:r>
          </w:p>
        </w:tc>
        <w:tc>
          <w:tcPr>
            <w:tcW w:type="dxa" w:w="1361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算法</w:t>
            </w:r>
          </w:p>
        </w:tc>
        <w:tc>
          <w:tcPr>
            <w:tcW w:type="dxa" w:w="2268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结论附口径版本与假设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6"/>
              </w:rPr>
              <w:t>P3</w:t>
            </w:r>
          </w:p>
        </w:tc>
        <w:tc>
          <w:tcPr>
            <w:tcW w:type="dxa" w:w="4195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CSV 解析升级为成熟库；Excel/WPS 兼容矩阵</w:t>
            </w:r>
          </w:p>
        </w:tc>
        <w:tc>
          <w:tcPr>
            <w:tcW w:type="dxa" w:w="1361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工程</w:t>
            </w:r>
          </w:p>
        </w:tc>
        <w:tc>
          <w:tcPr>
            <w:tcW w:type="dxa" w:w="2268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6"/>
              </w:rPr>
              <w:t>复杂 CSV 与主流办公软件通过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十一、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自评结论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在「单文件演示原型」这一边界内，本版未发现高危未缓解项：权限分级、输入安全、写操作确认、审计留痕均已实现且有明确的失败行为；资金环节全部止于待办，不触达真实账户。两项中高风险的共同根因是「前端即边界」——身份与数据都放在浏览器里，这既是原型的取舍，也是上线前必须改造的部分。</w:t>
      </w:r>
    </w:p>
    <w:p>
      <w:pPr>
        <w:spacing w:before="0" w:after="100" w:line="372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2B2118"/>
          <w:sz w:val="21"/>
        </w:rPr>
        <w:t>本报告不声称通过任何认证或达到监管合规要求，也不把未完成的浏览器验证写作通过。剩余验证缺口与产品级限制已在第九、十章逐项列出，评审可据此判断原型的能力边界。</w:t>
      </w: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附录 A　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安全检查表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566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检查项</w:t>
            </w:r>
          </w:p>
        </w:tc>
        <w:tc>
          <w:tcPr>
            <w:tcW w:type="dxa" w:w="340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权限码与账号集合是否一一对应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是（3 码 / 7 账号）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越权路径是否有明确失败行为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是（拒绝卡 + 审计）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写操作是否都不直达执行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是（二次确认 / 待办）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是否存在真实资金通道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否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密钥是否进长期存储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否（sessionStorage）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导出是否防公式注入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是（cxqCsvCell）</w:t>
            </w:r>
          </w:p>
        </w:tc>
      </w:tr>
      <w:tr>
        <w:trPr>
          <w:cantSplit w:val="true"/>
        </w:trPr>
        <w:tc>
          <w:tcPr>
            <w:tcW w:type="dxa" w:w="56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审计是否可校验</w:t>
            </w:r>
          </w:p>
        </w:tc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是（链式哈希，非签名）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是否有未披露的预设数据</w:t>
            </w:r>
          </w:p>
        </w:tc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否（页面与文档均标注）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p>
      <w:pPr>
        <w:keepNext/>
        <w:spacing w:before="400" w:after="160"/>
        <w:pBdr>
          <w:bottom w:val="single" w:sz="8" w:space="4" w:color="C99B3D"/>
        </w:pBdr>
      </w:pPr>
      <w:r>
        <w:rPr>
          <w:rFonts w:ascii="微软雅黑" w:hAnsi="微软雅黑" w:eastAsia="微软雅黑"/>
          <w:b/>
          <w:i w:val="0"/>
          <w:color w:val="8A6419"/>
          <w:sz w:val="30"/>
        </w:rPr>
        <w:t xml:space="preserve">附录 B　　</w:t>
      </w:r>
      <w:r>
        <w:rPr>
          <w:rFonts w:ascii="微软雅黑" w:hAnsi="微软雅黑" w:eastAsia="微软雅黑"/>
          <w:b/>
          <w:i w:val="0"/>
          <w:color w:val="3A2C16"/>
          <w:sz w:val="30"/>
        </w:rPr>
        <w:t>与大赛提交要求对照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rPr>
          <w:tblHeader w:val="true"/>
        </w:trPr>
        <w:tc>
          <w:tcPr>
            <w:tcW w:type="dxa" w:w="3402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提交要求</w:t>
            </w:r>
          </w:p>
        </w:tc>
        <w:tc>
          <w:tcPr>
            <w:tcW w:type="dxa" w:w="5669"/>
            <w:shd w:val="clear" w:color="auto" w:fill="3A2C1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BF3E0"/>
                <w:sz w:val="17"/>
              </w:rPr>
              <w:t>本报告对应章节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权限分级实现说明</w:t>
            </w:r>
          </w:p>
        </w:tc>
        <w:tc>
          <w:tcPr>
            <w:tcW w:type="dxa" w:w="56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第三章（权限码、可见粒度、拦截点、边界）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已知风险清单</w:t>
            </w:r>
          </w:p>
        </w:tc>
        <w:tc>
          <w:tcPr>
            <w:tcW w:type="dxa" w:w="56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第九章（15 项，含等级与控制）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评估范围与依据</w:t>
            </w:r>
          </w:p>
        </w:tc>
        <w:tc>
          <w:tcPr>
            <w:tcW w:type="dxa" w:w="56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第一章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残余风险与整改</w:t>
            </w:r>
          </w:p>
        </w:tc>
        <w:tc>
          <w:tcPr>
            <w:tcW w:type="dxa" w:w="5669"/>
            <w:shd w:val="clear" w:color="auto" w:fill="FBF7EC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第九章、第十章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2B2118"/>
                <w:sz w:val="17"/>
              </w:rPr>
              <w:t>自评结论</w:t>
            </w:r>
          </w:p>
        </w:tc>
        <w:tc>
          <w:tcPr>
            <w:tcW w:type="dxa" w:w="5669"/>
          </w:tcPr>
          <w:p>
            <w:pPr>
              <w:spacing w:before="40" w:after="40" w:line="300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2B2118"/>
                <w:sz w:val="17"/>
              </w:rPr>
              <w:t>第十一章</w:t>
            </w:r>
          </w:p>
        </w:tc>
      </w:tr>
    </w:tbl>
    <w:p>
      <w:pPr>
        <w:spacing w:before="0" w:after="80" w:line="372" w:lineRule="auto"/>
        <w:ind w:firstLine="0"/>
        <w:jc w:val="left"/>
      </w:pPr>
    </w:p>
    <w:sectPr w:rsidR="00FC693F" w:rsidRPr="0006063C" w:rsidSect="00034616">
      <w:footerReference w:type="default" r:id="rId9"/>
      <w:pgSz w:w="11906" w:h="16838"/>
      <w:pgMar w:top="1247" w:right="1191" w:bottom="1134" w:left="1304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8A7A57"/>
        <w:sz w:val="17"/>
      </w:rPr>
      <w:t xml:space="preserve">财小全 · 安全自评报告 V1.1　·　第 </w:t>
    </w:r>
    <w:fldSimple w:instr="PAGE">
      <w:r>
        <w:t>1</w:t>
      </w:r>
    </w:fldSimple>
    <w:r>
      <w:rPr>
        <w:rFonts w:ascii="微软雅黑" w:hAnsi="微软雅黑" w:eastAsia="微软雅黑"/>
        <w:b w:val="0"/>
        <w:i w:val="0"/>
        <w:color w:val="8A7A57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