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1701" w:lineRule="exact"/>
      </w:pPr>
      <w:r>
        <w:rPr>
          <w:rFonts w:ascii="微软雅黑" w:hAnsi="微软雅黑" w:eastAsia="微软雅黑"/>
          <w:b w:val="0"/>
          <w:i w:val="0"/>
          <w:color w:val="3A2C16"/>
          <w:sz w:val="2"/>
        </w:rPr>
        <w:t xml:space="preserve"> </w:t>
      </w:r>
    </w:p>
    <w:p>
      <w:pPr>
        <w:spacing w:before="0" w:after="280" w:line="372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8A7A57"/>
          <w:sz w:val="19"/>
        </w:rPr>
        <w:t>2026 深圳国际金融科技大赛 · 人工智能赛道（AI Banking）</w:t>
      </w:r>
    </w:p>
    <w:p>
      <w:pPr>
        <w:spacing w:before="0" w:after="200" w:line="300" w:lineRule="auto"/>
        <w:ind w:firstLine="0"/>
        <w:jc w:val="center"/>
      </w:pPr>
      <w:r>
        <w:rPr>
          <w:rFonts w:ascii="微软雅黑" w:hAnsi="微软雅黑" w:eastAsia="微软雅黑"/>
          <w:b/>
          <w:i w:val="0"/>
          <w:color w:val="3A2C16"/>
          <w:sz w:val="52"/>
        </w:rPr>
        <w:t>财小全 · AI 财务中枢</w:t>
      </w:r>
    </w:p>
    <w:p>
      <w:pPr>
        <w:spacing w:before="0" w:after="320" w:line="312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8A6419"/>
          <w:sz w:val="27"/>
        </w:rPr>
        <w:t>技术文档：系统架构 · 核心算法 · 安全设计</w:t>
      </w:r>
    </w:p>
    <w:p>
      <w:pPr>
        <w:spacing w:before="0" w:after="0" w:line="420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5C4E33"/>
          <w:sz w:val="21"/>
        </w:rPr>
        <w:t>一个 Agent · 三种模式 · 四轮驱动 · 一重护栏</w:t>
        <w:br/>
        <w:t>面向企业经营者、个人与家庭的财务 AI 助手</w:t>
        <w:br/>
        <w:t>单文件 HTML 原型 · 零后端 · 数据不出本机</w:t>
        <w:br/>
        <w:t>本文对应源码：财小全-比赛修正版_修复版.html（376.8 KB）</w:t>
      </w:r>
    </w:p>
    <w:p>
      <w:pPr>
        <w:spacing w:before="0" w:after="0" w:line="2381" w:lineRule="exact"/>
      </w:pPr>
      <w:r>
        <w:rPr>
          <w:rFonts w:ascii="微软雅黑" w:hAnsi="微软雅黑" w:eastAsia="微软雅黑"/>
          <w:b w:val="0"/>
          <w:i w:val="0"/>
          <w:color w:val="3A2C16"/>
          <w:sz w:val="2"/>
        </w:rPr>
        <w:t xml:space="preserve"> </w:t>
      </w:r>
    </w:p>
    <w:p>
      <w:pPr>
        <w:spacing w:before="0" w:after="80" w:line="372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8A7A57"/>
          <w:sz w:val="19"/>
        </w:rPr>
        <w:t>文档编号　CXQ-TECH-2026-001　　版本　V1.1（比赛提交版）</w:t>
      </w:r>
    </w:p>
    <w:p>
      <w:pPr>
        <w:spacing w:before="0" w:after="80" w:line="372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8A7A57"/>
          <w:sz w:val="19"/>
        </w:rPr>
        <w:t>编制　财小全 · 账税贷保全维财务中枢团队　　日期　2026 年 10 月 28 日</w:t>
      </w:r>
    </w:p>
    <w:p>
      <w:pPr>
        <w:spacing w:before="0" w:after="0" w:line="1474" w:lineRule="exact"/>
      </w:pPr>
      <w:r>
        <w:rPr>
          <w:rFonts w:ascii="微软雅黑" w:hAnsi="微软雅黑" w:eastAsia="微软雅黑"/>
          <w:b w:val="0"/>
          <w:i w:val="0"/>
          <w:color w:val="3A2C16"/>
          <w:sz w:val="2"/>
        </w:rPr>
        <w:t xml:space="preserve"> </w:t>
      </w:r>
    </w:p>
    <w:p>
      <w:r>
        <w:br w:type="page"/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</w:r>
      <w:r>
        <w:rPr>
          <w:rFonts w:ascii="微软雅黑" w:hAnsi="微软雅黑" w:eastAsia="微软雅黑"/>
          <w:b/>
          <w:i w:val="0"/>
          <w:color w:val="3A2C16"/>
          <w:sz w:val="30"/>
        </w:rPr>
        <w:t>文档信息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tblHeader w:val="true"/>
        </w:trPr>
        <w:tc>
          <w:tcPr>
            <w:tcW w:type="dxa" w:w="204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8"/>
              </w:rPr>
              <w:t>项目</w:t>
            </w:r>
          </w:p>
        </w:tc>
        <w:tc>
          <w:tcPr>
            <w:tcW w:type="dxa" w:w="7030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文档名称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《财小全 · AI 财务中枢 技术文档》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文档编号 / 版本</w:t>
            </w:r>
          </w:p>
        </w:tc>
        <w:tc>
          <w:tcPr>
            <w:tcW w:type="dxa" w:w="7030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CXQ-TECH-2026-001 / V1.1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对应源码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财小全-比赛修正版_修复版.html（单文件，376.8 KB，内联 JavaScript）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代码规模</w:t>
            </w:r>
          </w:p>
        </w:tc>
        <w:tc>
          <w:tcPr>
            <w:tcW w:type="dxa" w:w="7030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约 5.9 千行内联脚本；267 个具名函数；93 个静态 id（无重复）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运行形态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浏览器直接打开；零后端、零构建；本地存储 12 个键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智能层</w:t>
            </w:r>
          </w:p>
        </w:tc>
        <w:tc>
          <w:tcPr>
            <w:tcW w:type="dxa" w:w="7030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可选接入任意 OpenAI 兼容 Chat Completions 接口；未配置时自动降级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数据性质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全部为虚构或脱敏的演示数据，不含真实客户、真实账户与真实资金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密级</w:t>
            </w:r>
          </w:p>
        </w:tc>
        <w:tc>
          <w:tcPr>
            <w:tcW w:type="dxa" w:w="7030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公开（可用于大赛评审与演示）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13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8"/>
              </w:rPr>
              <w:t>版本</w:t>
            </w:r>
          </w:p>
        </w:tc>
        <w:tc>
          <w:tcPr>
            <w:tcW w:type="dxa" w:w="170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8"/>
              </w:rPr>
              <w:t>日期</w:t>
            </w:r>
          </w:p>
        </w:tc>
        <w:tc>
          <w:tcPr>
            <w:tcW w:type="dxa" w:w="6236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8"/>
              </w:rPr>
              <w:t>修订内容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V1.0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2026-10-26</w:t>
            </w:r>
          </w:p>
        </w:tc>
        <w:tc>
          <w:tcPr>
            <w:tcW w:type="dxa" w:w="6236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首次成稿：总体架构、核心算法、数据模型、接口与测试章节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V1.1</w:t>
            </w:r>
          </w:p>
        </w:tc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2026-10-28</w:t>
            </w:r>
          </w:p>
        </w:tc>
        <w:tc>
          <w:tcPr>
            <w:tcW w:type="dxa" w:w="6236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按「比赛修正版_修复版」源码重写：补写流水归月窗口、贷款方案持久化、CSV 导出防护、账号会话隔离、本地存储结构容错；路由与数据模型按实际代码重新核对；删除与实现不符的表述；增补 4.5 领域实体关系（ER 图 3–5）与 4.6 身份与授权流程（图 6）；1.3 由一张汇总表扩为六场景逐条（1.3.1–1.3.6，逐条给出用户话术、Agent 动作、代码位置与边界），并逐项标注实现程度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阅读说明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本文所有技术结论以提交的 财小全-比赛修正版_修复版.html 为准。文中出现的函数名、存储键、金额与算式，都可以在源码里直接检索复算；凡未在代码中实现的控制，一律标注为「方案层设计 / 待落地」，不与已实现的控制混写。安全机制的完整评估与残余风险见《04 安全自评报告》，本文第六章只作摘要。</w:t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一、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项目概述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先给结论：账、税、贷、保在用户那里从来不是四件事，而是同一笔钱的四个侧面——记下一张 128 元的小票，顺手就该知道这笔钱怎么入账、要不要算税、会不会影响下月还款、保障够不够。做成四个互不相通的 App，等于让用户把同一件事讲四遍。财小全只讲一遍。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1.1　产品定位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财小全是一套面向企业经营者、个人与家庭的财务 AI 助手原型。它把账、税、贷、保四类原本分散的能力收敛到同一个票据引擎与同一本账簿之上：用户录入一次流水或导入一段账单，系统即可完成对账、算税、还款提醒与保障缺口分析，实现「一处录入、处处复用」。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产品形态为单个 HTML 文件，浏览器打开即用，无需构建、无需后端，数据保存在本机浏览器；可选接入 OpenAI 兼容接口完成自然语言作答，未配置密钥时自动降级为本地规则与测算库，核心功能不中断。所有涉及资金的环节只生成「待确认指令」或「待办」，系统本身不触达真实账户与真实资金。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1.2　三种模式与七个账号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同一套引擎，三种交互出口。差异只体现在三处：可见数据范围（按模式与账号隔离）、可用技能集合（按权限码门控）、呈现方式（管理台 ／ 对话 ／ 大字只读）。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247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模式</w:t>
            </w:r>
          </w:p>
        </w:tc>
        <w:tc>
          <w:tcPr>
            <w:tcW w:type="dxa" w:w="147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账号（键）</w:t>
            </w:r>
          </w:p>
        </w:tc>
        <w:tc>
          <w:tcPr>
            <w:tcW w:type="dxa" w:w="2268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角色</w:t>
            </w:r>
          </w:p>
        </w:tc>
        <w:tc>
          <w:tcPr>
            <w:tcW w:type="dxa" w:w="283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可见范围</w:t>
            </w:r>
          </w:p>
        </w:tc>
        <w:tc>
          <w:tcPr>
            <w:tcW w:type="dxa" w:w="170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主要出口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企业模式</w:t>
            </w:r>
          </w:p>
        </w:tc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operator</w:t>
            </w:r>
          </w:p>
        </w:tc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经营者 · 主账号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自有账本全量：流水、薪酬、税负、DTI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财务总览 ／ 对话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</w:r>
          </w:p>
        </w:tc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investor</w:t>
            </w:r>
          </w:p>
        </w:tc>
        <w:tc>
          <w:tcPr>
            <w:tcW w:type="dxa" w:w="226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投资人 · 子账号</w:t>
            </w:r>
          </w:p>
        </w:tc>
        <w:tc>
          <w:tcPr>
            <w:tcW w:type="dxa" w:w="283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自有台账全量；被分享部分只到摘要层</w:t>
            </w:r>
          </w:p>
        </w:tc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对话 ／ 总览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个人模式</w:t>
            </w:r>
          </w:p>
        </w:tc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self</w:t>
            </w:r>
          </w:p>
        </w:tc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本人 · 主账号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个人账本全量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对话 ／ 我的账户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</w:r>
          </w:p>
        </w:tc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advisor</w:t>
            </w:r>
          </w:p>
        </w:tc>
        <w:tc>
          <w:tcPr>
            <w:tcW w:type="dxa" w:w="226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财税顾问 · 子账号</w:t>
            </w:r>
          </w:p>
        </w:tc>
        <w:tc>
          <w:tcPr>
            <w:tcW w:type="dxa" w:w="283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自有工作台账；客户数据只到结论层</w:t>
            </w:r>
          </w:p>
        </w:tc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对话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家庭模式</w:t>
            </w:r>
          </w:p>
        </w:tc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keeper</w:t>
            </w:r>
          </w:p>
        </w:tc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管钱者 · 主账号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全家账本全量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总览 ／ 对话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</w:r>
          </w:p>
        </w:tc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member</w:t>
            </w:r>
          </w:p>
        </w:tc>
        <w:tc>
          <w:tcPr>
            <w:tcW w:type="dxa" w:w="226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消费成员 · 子账号</w:t>
            </w:r>
          </w:p>
        </w:tc>
        <w:tc>
          <w:tcPr>
            <w:tcW w:type="dxa" w:w="283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本人收支 + 家庭公共账摘要</w:t>
            </w:r>
          </w:p>
        </w:tc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对话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</w:r>
          </w:p>
        </w:tc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elder</w:t>
            </w:r>
          </w:p>
        </w:tc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长辈 · 关怀模式</w:t>
            </w:r>
          </w:p>
        </w:tc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只读结论 + 大字版，全页零资金入口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长辈大字版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1.3　赛题场景覆盖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赛题列了六个参考场景，要求至少完整覆盖三项。本节逐条写清四件事：用户会怎么说、Agent 实际怎么做、对应哪段代码、边界在哪里。凡是做不了的能力，这里直接写「未实现」，不写成能力。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7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场景</w:t>
            </w:r>
          </w:p>
        </w:tc>
        <w:tc>
          <w:tcPr>
            <w:tcW w:type="dxa" w:w="3742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赛题要求的能力点</w:t>
            </w:r>
          </w:p>
        </w:tc>
        <w:tc>
          <w:tcPr>
            <w:tcW w:type="dxa" w:w="1020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实现程度</w:t>
            </w:r>
          </w:p>
        </w:tc>
        <w:tc>
          <w:tcPr>
            <w:tcW w:type="dxa" w:w="317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① 智能转账</w:t>
            </w:r>
          </w:p>
        </w:tc>
        <w:tc>
          <w:tcPr>
            <w:tcW w:type="dxa" w:w="3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按人名 / 手机号 / 备注转账、定时转账、拆分 AA 收款</w:t>
            </w:r>
          </w:p>
        </w:tc>
        <w:tc>
          <w:tcPr>
            <w:tcW w:type="dxa" w:w="102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完整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人名与备注可解析；手机号需先在通讯录绑定；定时只提醒不代扣；AA 按账本成员拆分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② 账单分析</w:t>
            </w:r>
          </w:p>
        </w:tc>
        <w:tc>
          <w:tcPr>
            <w:tcW w:type="dxa" w:w="374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消费分类统计、异常交易识别、月度 / 年度账单报告</w:t>
            </w:r>
          </w:p>
        </w:tc>
        <w:tc>
          <w:tcPr>
            <w:tcW w:type="dxa" w:w="1020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完整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分类占比、两条异常规则、月度报告导出；年度无独立报告文件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③ 理财操作</w:t>
            </w:r>
          </w:p>
        </w:tc>
        <w:tc>
          <w:tcPr>
            <w:tcW w:type="dxa" w:w="3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产品推荐与对比、风险评估、一键申购 / 赎回</w:t>
            </w:r>
          </w:p>
        </w:tc>
        <w:tc>
          <w:tcPr>
            <w:tcW w:type="dxa" w:w="102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边界内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三项能力一律不出：拒答并给出可替代的三件事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④ 卡片管理</w:t>
            </w:r>
          </w:p>
        </w:tc>
        <w:tc>
          <w:tcPr>
            <w:tcW w:type="dxa" w:w="374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卡申请、额度调整、交易限制 / 解锁、卡片挂失</w:t>
            </w:r>
          </w:p>
        </w:tc>
        <w:tc>
          <w:tcPr>
            <w:tcW w:type="dxa" w:w="1020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部分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仅挂失走二次确认、额度只给口径；卡申请与限额调整无流程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⑤ 订阅 / 代扣</w:t>
            </w:r>
          </w:p>
        </w:tc>
        <w:tc>
          <w:tcPr>
            <w:tcW w:type="dxa" w:w="3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自动识别订阅扣费、续费提醒、一键取消</w:t>
            </w:r>
          </w:p>
        </w:tc>
        <w:tc>
          <w:tcPr>
            <w:tcW w:type="dxa" w:w="102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完整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清单与续费日取自内置演示数据；取消走二次确认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⑥ 跨场景联动</w:t>
            </w:r>
          </w:p>
        </w:tc>
        <w:tc>
          <w:tcPr>
            <w:tcW w:type="dxa" w:w="374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生日检测 → 锁定活期 → 订鲜花蛋糕</w:t>
            </w:r>
          </w:p>
        </w:tc>
        <w:tc>
          <w:tcPr>
            <w:tcW w:type="dxa" w:w="1020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未实现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该示例未落地；产品以「三本账资金安排」实现跨场景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A2C16"/>
          <w:sz w:val="22"/>
        </w:rPr>
        <w:t>1.3.1　智能转账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tblHeader w:val="true"/>
        </w:trPr>
        <w:tc>
          <w:tcPr>
            <w:tcW w:type="dxa" w:w="317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用户怎么说</w:t>
            </w:r>
          </w:p>
        </w:tc>
        <w:tc>
          <w:tcPr>
            <w:tcW w:type="dxa" w:w="6009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Agent 怎么做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「给张三转 2000，备注货款」</w:t>
            </w:r>
          </w:p>
        </w:tc>
        <w:tc>
          <w:tcPr>
            <w:tcW w:type="dxa" w:w="600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解析收款人、金额、备注，生成待确认转账单；确认后只生成一条待办指令，资金动作由用户在本人的银行 App 完成，Agent 不经手资金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「每月 5 号给房东转 6000，备注房租」</w:t>
            </w:r>
          </w:p>
        </w:tc>
        <w:tc>
          <w:tcPr>
            <w:tcW w:type="dxa" w:w="600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把执行规则（每月 5 日）、每次金额、备注、下次执行时间一次列全；到期只在对话里提醒，不自动划账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「聚餐 1200，AA」</w:t>
            </w:r>
          </w:p>
        </w:tc>
        <w:tc>
          <w:tcPr>
            <w:tcW w:type="dxa" w:w="600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按当前账本关联成员等额拆分，生成分摊单；各方确认后分别建待办，争议可单独发起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实现位置：cxqParsePayee / cxqTransfer、cxqScheduleIntent、cxqSplitRoute（cxqBuildSplit、cxqSplitCreateDraft、cxqSplitConfirm、cxqSplitDispute、cxqSplitMakeTasks）。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边界：收款人只识别 2–4 字中文人名及账本内已有往来对象；手机号必须先绑定联系人才能参与解析，未绑定会退化为通用写操作确认单。定时任务到期只提醒，不代扣。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A2C16"/>
          <w:sz w:val="22"/>
        </w:rPr>
        <w:t>1.3.2　账单分析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tblHeader w:val="true"/>
        </w:trPr>
        <w:tc>
          <w:tcPr>
            <w:tcW w:type="dxa" w:w="317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用户怎么说</w:t>
            </w:r>
          </w:p>
        </w:tc>
        <w:tc>
          <w:tcPr>
            <w:tcW w:type="dxa" w:w="6009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Agent 怎么做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「帮我看看这个月收支」</w:t>
            </w:r>
          </w:p>
        </w:tc>
        <w:tc>
          <w:tcPr>
            <w:tcW w:type="dxa" w:w="600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出「9 月收支速览」：收入、支出、净流入、结余四项结论，附凭证编号与待核对条数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「帮我扫一下最近有没有可疑交易」</w:t>
            </w:r>
          </w:p>
        </w:tc>
        <w:tc>
          <w:tcPr>
            <w:tcW w:type="dxa" w:w="600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跑两条规则：金额不小于 5000 且为千元整数；同商户同日重复扣款。结论先报「已检查 N 笔」，再逐条列出命中项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（财务总览界面）</w:t>
            </w:r>
          </w:p>
        </w:tc>
        <w:tc>
          <w:tcPr>
            <w:tcW w:type="dxa" w:w="600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「9 月支出构成」环形图与明细表：科目、金额、占比，合计与流水核对一致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（导出）</w:t>
            </w:r>
          </w:p>
        </w:tc>
        <w:tc>
          <w:tcPr>
            <w:tcW w:type="dxa" w:w="600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exportMonthReport() 生成本月账单报告文件，只统计当前账号手动录入或导入的流水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实现位置：cxqScanAnomalies、catTotal 与看板支出构成、cxqMonthReport。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边界：报告只有月度口径，没有独立的年度报告文件；年度数据需按月导出后自行汇总。异常识别是全规则命中，不做概率评分。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A2C16"/>
          <w:sz w:val="22"/>
        </w:rPr>
        <w:t>1.3.3　理财操作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tblHeader w:val="true"/>
        </w:trPr>
        <w:tc>
          <w:tcPr>
            <w:tcW w:type="dxa" w:w="317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用户怎么说</w:t>
            </w:r>
          </w:p>
        </w:tc>
        <w:tc>
          <w:tcPr>
            <w:tcW w:type="dxa" w:w="6009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Agent 怎么做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「有什么理财产品推荐」</w:t>
            </w:r>
          </w:p>
        </w:tc>
        <w:tc>
          <w:tcPr>
            <w:tcW w:type="dxa" w:w="600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拒绝：不推荐具体产品、不承诺收益、不代客操作；同时给出可替代的三件事——算清账上可动用闲钱、按用途拆分、生成问客户经理的问题清单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「买这个基金」/「赎回」</w:t>
            </w:r>
          </w:p>
        </w:tc>
        <w:tc>
          <w:tcPr>
            <w:tcW w:type="dxa" w:w="600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只触发通用写操作二次确认，并在确认单里注明「我不代客操作」，不生成任何交易指令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「这月闲钱帮我安排一下」</w:t>
            </w:r>
          </w:p>
        </w:tc>
        <w:tc>
          <w:tcPr>
            <w:tcW w:type="dxa" w:w="600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转入资金安排逻辑，见 1.3.6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实现位置：意图路由「理财 / 收益 / 推荐 / 年化 / 基金 / 股票 / 信托」命中拒答卡模板；写操作走 cxqDetectWrite → cxqProposeWrite。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边界：没有风险测评问卷，没有产品参数对比表。这是有意的取舍——货架式推荐会越过合规红线，也是本产品与通用理财助手的分界线。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A2C16"/>
          <w:sz w:val="22"/>
        </w:rPr>
        <w:t>1.3.4　卡片管理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tblHeader w:val="true"/>
        </w:trPr>
        <w:tc>
          <w:tcPr>
            <w:tcW w:type="dxa" w:w="317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用户怎么说</w:t>
            </w:r>
          </w:p>
        </w:tc>
        <w:tc>
          <w:tcPr>
            <w:tcW w:type="dxa" w:w="6009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Agent 怎么做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「帮我把银行卡挂失」</w:t>
            </w:r>
          </w:p>
        </w:tc>
        <w:tc>
          <w:tcPr>
            <w:tcW w:type="dxa" w:w="600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先出写操作确认单，写明将在用户的账户中执行；用户点「确认执行」后，才在沙箱内生效，全过程留痕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「我这张卡额度能提一提吗」</w:t>
            </w:r>
          </w:p>
        </w:tc>
        <w:tc>
          <w:tcPr>
            <w:tcW w:type="dxa" w:w="600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输出在贷笔数、月还款合计、DTI 与提醒事项，明确不代办贷款、不承诺额度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（卡片台账）</w:t>
            </w:r>
          </w:p>
        </w:tc>
        <w:tc>
          <w:tcPr>
            <w:tcW w:type="dxa" w:w="600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储蓄卡与信用卡本地归集，卡号只展示后四位，用于流水归集与还款提醒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实现位置：cxqDetectWrite → cxqProposeWrite（挂失 / 停卡 / 冻结卡关键词）；额度类问题走信贷口径模板。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边界：卡申请、交易限额调整、限额解锁没有独立流程，命中后返回能力说明或口径卡，不生成任何申请单。视频与文档都不把这些写成已实现。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A2C16"/>
          <w:sz w:val="22"/>
        </w:rPr>
        <w:t>1.3.5　订阅与代扣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tblHeader w:val="true"/>
        </w:trPr>
        <w:tc>
          <w:tcPr>
            <w:tcW w:type="dxa" w:w="317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用户怎么说</w:t>
            </w:r>
          </w:p>
        </w:tc>
        <w:tc>
          <w:tcPr>
            <w:tcW w:type="dxa" w:w="6009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Agent 怎么做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「我有哪些自动续费」</w:t>
            </w:r>
          </w:p>
        </w:tc>
        <w:tc>
          <w:tcPr>
            <w:tcW w:type="dxa" w:w="600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列出三项代扣：视频会员 25 元（11 月 1 日）、健身工作室月卡 680 元（10 月 20 日）、云存储扩容 20 元（10 月 18 日），并给出月扣合计与下次续费日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「取消健身卡」</w:t>
            </w:r>
          </w:p>
        </w:tc>
        <w:tc>
          <w:tcPr>
            <w:tcW w:type="dxa" w:w="600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点击卡片上的「取消订阅」→ 生成取消订阅确认单（写明确认后下一期不再扣款、已扣款项不退）→ 确认后状态改为已关闭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实现位置：cxqSubscriptions()、CXQ_SUBS 数据集、cxqAskUnsub(i)。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边界：订阅清单是内置演示数据集，不是从未结构化流水中自动聚类识别。真实产品需要接银行代扣协议接口，属上线前后端化改造项。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3A2C16"/>
          <w:sz w:val="22"/>
        </w:rPr>
        <w:t>1.3.6　跨场景联动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tblHeader w:val="true"/>
        </w:trPr>
        <w:tc>
          <w:tcPr>
            <w:tcW w:type="dxa" w:w="317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用户怎么说</w:t>
            </w:r>
          </w:p>
        </w:tc>
        <w:tc>
          <w:tcPr>
            <w:tcW w:type="dxa" w:w="6009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Agent 怎么做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「我这月闲钱帮我安排一下」</w:t>
            </w:r>
          </w:p>
        </w:tc>
        <w:tc>
          <w:tcPr>
            <w:tcW w:type="dxa" w:w="600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读取当前账本结余 → 算出 3 个月应急金 → 给出三栏安排（周转 / 应急 / 定期）；缺口逐条列出，补满之前不谈配置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（多账号）</w:t>
            </w:r>
          </w:p>
        </w:tc>
        <w:tc>
          <w:tcPr>
            <w:tcW w:type="dxa" w:w="600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经营账、家庭账、信贷三本账共用一套口径，切换身份不串账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实现位置：cxqFundPlanIntent → cxqFundPlan()；账号隔离见 4.6。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边界：赛题示例的「检测爱人生日 → 当月锁定 1000 元活期 → 生日前 2 天订购鲜花蛋糕」未实现，源码中不存在生日、礼品、定时下单相关逻辑。本产品把跨场景联动收束在「经营账本 → 家庭账 → 信贷」的资金口径对齐上，而不是生活事件触发。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结论：六个参考场景中，①智能转账、②账单分析、⑤订阅与代扣为完整实现；③理财操作、④卡片管理为边界内实现；⑥跨场景联动以资金安排形态落地，赛题原文示例未实现。完整覆盖三项，满足赛题「至少覆盖三个核心场景」的要求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1.4　技术选型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36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层次</w:t>
            </w:r>
          </w:p>
        </w:tc>
        <w:tc>
          <w:tcPr>
            <w:tcW w:type="dxa" w:w="317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选型</w:t>
            </w:r>
          </w:p>
        </w:tc>
        <w:tc>
          <w:tcPr>
            <w:tcW w:type="dxa" w:w="453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理由与代价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表现层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单 HTML + CSS 变量主题</w:t>
            </w:r>
          </w:p>
        </w:tc>
        <w:tc>
          <w:tcPr>
            <w:tcW w:type="dxa" w:w="45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无框架、无构建，双击即开；同一份样式按 320–1440px 响应式适配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交互层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原生 ES5 函数式路由</w:t>
            </w:r>
          </w:p>
        </w:tc>
        <w:tc>
          <w:tcPr>
            <w:tcW w:type="dxa" w:w="453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兼容旧浏览器与微信内置浏览器；无打包体积，也带来可读性依赖注释分区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智能层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OpenAI 兼容 Chat Completions</w:t>
            </w:r>
          </w:p>
        </w:tc>
        <w:tc>
          <w:tcPr>
            <w:tcW w:type="dxa" w:w="45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SSE 流式逐块渲染；模型可替换；仅承担语言理解与表达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规则层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本地正则 + 纯函数计算</w:t>
            </w:r>
          </w:p>
        </w:tc>
        <w:tc>
          <w:tcPr>
            <w:tcW w:type="dxa" w:w="453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金额、税额、健康分、份额全部本地计算，可复算、可审计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数据层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localStorage（12 个键）</w:t>
            </w:r>
          </w:p>
        </w:tc>
        <w:tc>
          <w:tcPr>
            <w:tcW w:type="dxa" w:w="45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零后端，数据不出本机；不跨设备同步，清浏览器数据即清除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安全层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权限码 + 账号键 + 二次确认 + 审计链</w:t>
            </w:r>
          </w:p>
        </w:tc>
        <w:tc>
          <w:tcPr>
            <w:tcW w:type="dxa" w:w="453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所有出口经身份节点；写操作不直达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1.5　运行环境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浏览器：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Chrome / Edge / Safari / 微信内置浏览器；日期解析按正则拆解，规避 iOS 与微信内核差异。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屏幕：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最小 320px，向上覆盖 360 / 390 / 768 / 1440px；无横向滚动条。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服务端：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无强制依赖；可直连模型接口，也可经本机代理或边缘 Worker 转发。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密钥：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用户自填，只写入 sessionStorage（cxf-llm-key），关闭标签页即失效。</w:t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二、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系统总体架构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一条消息从输入框发出到卡片落在屏幕上，要穿过五道门。每道门拦的是一类失败：认错人、越权、算错、说错、事后说不清。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339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39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72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8A7A57"/>
          <w:sz w:val="17"/>
        </w:rPr>
        <w:t>图 1　总体架构：五层能力 + 一条安全底座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2.1　各层职责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7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层次</w:t>
            </w:r>
          </w:p>
        </w:tc>
        <w:tc>
          <w:tcPr>
            <w:tcW w:type="dxa" w:w="351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关键组件</w:t>
            </w:r>
          </w:p>
        </w:tc>
        <w:tc>
          <w:tcPr>
            <w:tcW w:type="dxa" w:w="4082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渠道层</w:t>
            </w:r>
          </w:p>
        </w:tc>
        <w:tc>
          <w:tcPr>
            <w:tcW w:type="dxa" w:w="351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企业总览、个人 IM 对话、家庭长辈大字版</w:t>
            </w:r>
          </w:p>
        </w:tc>
        <w:tc>
          <w:tcPr>
            <w:tcW w:type="dxa" w:w="408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按身份切换出口；长辈版强制大字、只读、零资金按钮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交互编排层</w:t>
            </w:r>
          </w:p>
        </w:tc>
        <w:tc>
          <w:tcPr>
            <w:tcW w:type="dxa" w:w="351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cxqRoute、mkCard、cxqDecide、cxqAttachDecisions</w:t>
            </w:r>
          </w:p>
        </w:tc>
        <w:tc>
          <w:tcPr>
            <w:tcW w:type="dxa" w:w="408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决定「谁来回答」，并把每次分支写入审计与「决策过程」折叠条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能力层</w:t>
            </w:r>
          </w:p>
        </w:tc>
        <w:tc>
          <w:tcPr>
            <w:tcW w:type="dxa" w:w="351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账 / 税 / 贷 / 保四轮 + 定时转账、分摊、订阅、卡片管理</w:t>
            </w:r>
          </w:p>
        </w:tc>
        <w:tc>
          <w:tcPr>
            <w:tcW w:type="dxa" w:w="408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业务计算与卡片产出，全部基于当前账本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智能层（可选）</w:t>
            </w:r>
          </w:p>
        </w:tc>
        <w:tc>
          <w:tcPr>
            <w:tcW w:type="dxa" w:w="351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cxqChatDirect → OpenAI 兼容接口</w:t>
            </w:r>
          </w:p>
        </w:tc>
        <w:tc>
          <w:tcPr>
            <w:tcW w:type="dxa" w:w="408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仅承接自然语言理解与表达；不负责金额计算与合规判定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数据与规则层</w:t>
            </w:r>
          </w:p>
        </w:tc>
        <w:tc>
          <w:tcPr>
            <w:tcW w:type="dxa" w:w="351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本机账本（12 键）、规则库、财税知识库、凭证索引</w:t>
            </w:r>
          </w:p>
        </w:tc>
        <w:tc>
          <w:tcPr>
            <w:tcW w:type="dxa" w:w="408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唯一数据源与可追溯依据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安全底座</w:t>
            </w:r>
          </w:p>
        </w:tc>
        <w:tc>
          <w:tcPr>
            <w:tcW w:type="dxa" w:w="351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权限码、二次确认、反诈识别、审计链、低置信拒答</w:t>
            </w:r>
          </w:p>
        </w:tc>
        <w:tc>
          <w:tcPr>
            <w:tcW w:type="dxa" w:w="408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横向约束所有层，任一出口不可绕过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2.2　一次问答的完整链路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用户输入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 xml:space="preserve">  → cxqRoute(v, a)              身份解析 + 优先级路由（13 个出口，见 3.1）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 xml:space="preserve">  → 本地分支：直接产出卡片（测算 / 待确认 / 拦截 / 拒答）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 xml:space="preserve">  → 模型分支：system(身份 + 账本上下文 + 数据边界) + 最近 10 条历史 + 当前问题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 xml:space="preserve">  → POST {base}/chat/completions   stream=true, temperature=0.3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 xml:space="preserve">  → 逐块解析 data: 行 → choices[0].delta.content → 流式渲染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 xml:space="preserve">  → logAudit(...) + cxqAttachDecisions(决策过程折叠条)</w:t>
      </w:r>
    </w:p>
    <w:p>
      <w:pPr>
        <w:spacing w:before="0" w:after="120" w:line="372" w:lineRule="auto"/>
        <w:ind w:firstLine="0"/>
        <w:jc w:val="left"/>
      </w:pP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上下文装配有三条硬约束：其一，系统提示词固定包含身份说明（模式、账号、角色、主／子账号、数据权限、是否关怀模式）；其二，附带当前账本的近三个月收支、最近一个月净额、支出构成、最近 20 笔本机流水，并显式声明「这是唯一可用数据源，其他模式与其他账号的数据不得引用、猜测或编造」；其三，历史按「模式:账号 + 会话」隔离，不同账号之间不串上下文。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2.3　关键设计取舍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设计</w:t>
            </w:r>
          </w:p>
        </w:tc>
        <w:tc>
          <w:tcPr>
            <w:tcW w:type="dxa" w:w="306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收益</w:t>
            </w:r>
          </w:p>
        </w:tc>
        <w:tc>
          <w:tcPr>
            <w:tcW w:type="dxa" w:w="419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代价与应对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单文件、无构建、无后端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评审双击即开；部署与迁移成本几乎为零</w:t>
            </w:r>
          </w:p>
        </w:tc>
        <w:tc>
          <w:tcPr>
            <w:tcW w:type="dxa" w:w="419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文件 376.8 KB、无模块化；以分区注释与命名前缀维持可读性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规则优先、模型兜底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金额、税费、健康分等结论可复算，杜绝模型算错账</w:t>
            </w:r>
          </w:p>
        </w:tc>
        <w:tc>
          <w:tcPr>
            <w:tcW w:type="dxa" w:w="419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意图覆盖依赖规则维护；用兜底分支与二次确认降低漏判影响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localStorage 本机存储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零后端、隐私边界清晰、无需登录</w:t>
            </w:r>
          </w:p>
        </w:tc>
        <w:tc>
          <w:tcPr>
            <w:tcW w:type="dxa" w:w="419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不跨设备同步；提供导出/导入与本地保存提示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资金环节全部本地模拟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零真实资金风险，符合合规红线</w:t>
            </w:r>
          </w:p>
        </w:tc>
        <w:tc>
          <w:tcPr>
            <w:tcW w:type="dxa" w:w="419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无法完成真实交易；以「待确认指令 + 请到银行 App 完成」闭环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长辈版独立只读通道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机制上规避误操作与诈骗</w:t>
            </w:r>
          </w:p>
        </w:tc>
        <w:tc>
          <w:tcPr>
            <w:tcW w:type="dxa" w:w="419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功能受限；由家属主账号在旁协助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三、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核心算法说明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这一章只放算式，不放结论。金额、税额、健康分、份额，全部可以在纸上重算一遍；算不出来的数，系统不该说出口。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3.1　意图路由：高风险前置的优先级链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路由不是「关键词匹配后交给模型」，而是一条严格排序的判定链：越靠前的分支安全等级越高、越不允许被后续分支抢占。原因是同一句话可能命中多种意图——例如「把 5 万转到安全账户」既含「转」也含「账」，若不把反诈识别放在最前，就会被账本卡片抢走，导致风险提示失效。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92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92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72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8A7A57"/>
          <w:sz w:val="17"/>
        </w:rPr>
        <w:t>图 2　cxqRoute 的 13 个出口（顺序即优先级）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另有两处顺序性约束写死在代码里：定时转账必须早于普通转账判定，否则「每月 5 号转 2000」会被降级成一次性转账；比例分摊必须早于转账，否则「AA」会先被转账分支吃掉。关键词命中但用户说的是长句（去空格后超过 4 个字）且已配置密钥时，转发模型自由作答，避免把所有问题都压成同一张固定卡片。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3.2　流水归月与看板合并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看板口径是「预设基线 + 当前账号可明确归入 2026 年 7–9 月窗口的流水」。merge() 对每条导入记录依次做五道判定，任何一道不通过都单独计数并排除，绝不并入最近一个月：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mm = txnMonth(date)   // 支持 2026-09-12 / 2026.9.12 / 2026年9月 / 9/12 / 9月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yy = txnYear(date)    // 只有月日、没有年份 → 返回 null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mm == null            → impNoDate     不擅自归月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mm &lt; 1 or mm &gt; 12     → impInvalidMonth 防御脏数据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yy == null            → impNoYear     不猜年份（本轮修复）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yy != 2026            → impOtherYear  非演示年份排除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月份不在 7/8/9 标签中 → impOut        窗口外不并入，避免图表失真</w:t>
      </w:r>
    </w:p>
    <w:p>
      <w:pPr>
        <w:spacing w:before="0" w:after="120" w:line="372" w:lineRule="auto"/>
        <w:ind w:firstLine="0"/>
        <w:jc w:val="left"/>
      </w:pP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支出构成只画最近一个月，因此只有落在最近一个月内的导入支出才计入构成条目；收入与支出分别累计，避免把跨月导入全堆到最后一个月。窗口外与无法归月的记录仍保留在「我的流水」中，只是不进看板合计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3.3　跨场景资金安排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当用户问「这月闲钱怎么安排」时，系统不调用模型泛泛作答，而是读取当前账本现算：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net     = 本月收入 − 本月支出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avg     = 近 3 个月月均支出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need    = round(avg × 3)             // 3 个月应急金目标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reserve = clamp(net, 0, need)         // 先补应急金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free    = max(0, net − reserve)       // 可安排闲钱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op      = round(free × 0.40)          // 经营 / 日常周转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inv     = round(free × 0.30)          // 可存定期或货基（只给方向）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flex    = free − op − inv             // 机动现金</w:t>
      </w:r>
    </w:p>
    <w:p>
      <w:pPr>
        <w:spacing w:before="0" w:after="120" w:line="372" w:lineRule="auto"/>
        <w:ind w:firstLine="0"/>
        <w:jc w:val="left"/>
      </w:pP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卡片同时展示算式与三栏比例，底部固定声明「以上为基于你账本的建议，不构成投资建议」。结余不足以补满 3 个月支出时，文案改为「建议先补应急金」并显示还差多少，不给出任何配置比例；结余为负时改为「先补现金流缺口」。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3.4　财务健康分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健康分是原型自建的可解释评分：五个维度各占 20 分，公式摆在明面上，拿纸笔就能重算。演示值经 checkCalcs() 自检——五维之和不等于总分时会主动报错。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36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维度</w:t>
            </w:r>
          </w:p>
        </w:tc>
        <w:tc>
          <w:tcPr>
            <w:tcW w:type="dxa" w:w="907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权重</w:t>
            </w:r>
          </w:p>
        </w:tc>
        <w:tc>
          <w:tcPr>
            <w:tcW w:type="dxa" w:w="3402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口径</w:t>
            </w:r>
          </w:p>
        </w:tc>
        <w:tc>
          <w:tcPr>
            <w:tcW w:type="dxa" w:w="3402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分档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结余率</w:t>
            </w:r>
          </w:p>
        </w:tc>
        <w:tc>
          <w:tcPr>
            <w:tcW w:type="dxa" w:w="90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20%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(月收入 − 月支出) ÷ 月收入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≥30%→95；20–30%→80；10–20%→60；0–10%→40；&lt;0→20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负债压力</w:t>
            </w:r>
          </w:p>
        </w:tc>
        <w:tc>
          <w:tcPr>
            <w:tcW w:type="dxa" w:w="907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20%</w:t>
            </w:r>
          </w:p>
        </w:tc>
        <w:tc>
          <w:tcPr>
            <w:tcW w:type="dxa" w:w="340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DTI = 月还款合计 ÷ 月收入</w:t>
            </w:r>
          </w:p>
        </w:tc>
        <w:tc>
          <w:tcPr>
            <w:tcW w:type="dxa" w:w="340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≤10%→95；10–30%→70；30–50%→45；&gt;50%→35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应急金月数</w:t>
            </w:r>
          </w:p>
        </w:tc>
        <w:tc>
          <w:tcPr>
            <w:tcW w:type="dxa" w:w="90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20%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存款 ÷ 刚性月支出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≥6→95；3–6→72；1–3→45；&lt;1→20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保障覆盖</w:t>
            </w:r>
          </w:p>
        </w:tc>
        <w:tc>
          <w:tcPr>
            <w:tcW w:type="dxa" w:w="907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20%</w:t>
            </w:r>
          </w:p>
        </w:tc>
        <w:tc>
          <w:tcPr>
            <w:tcW w:type="dxa" w:w="340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已有保额 ÷ 应担责任（负债 + 家庭必要支出）</w:t>
            </w:r>
          </w:p>
        </w:tc>
        <w:tc>
          <w:tcPr>
            <w:tcW w:type="dxa" w:w="340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≥100%→95；50–100%→55；&lt;50%→35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现金流</w:t>
            </w:r>
          </w:p>
        </w:tc>
        <w:tc>
          <w:tcPr>
            <w:tcW w:type="dxa" w:w="90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20%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月净流入 ÷ 刚性月支出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≥1.5→95；1–1.5→80；0.5–1→60；0–0.5→40；&lt;0→20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</w:trPr>
        <w:tc>
          <w:tcPr>
            <w:tcW w:type="dxa" w:w="147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身份</w:t>
            </w:r>
          </w:p>
        </w:tc>
        <w:tc>
          <w:tcPr>
            <w:tcW w:type="dxa" w:w="1020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结余率</w:t>
            </w:r>
          </w:p>
        </w:tc>
        <w:tc>
          <w:tcPr>
            <w:tcW w:type="dxa" w:w="79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负债</w:t>
            </w:r>
          </w:p>
        </w:tc>
        <w:tc>
          <w:tcPr>
            <w:tcW w:type="dxa" w:w="907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应急金</w:t>
            </w:r>
          </w:p>
        </w:tc>
        <w:tc>
          <w:tcPr>
            <w:tcW w:type="dxa" w:w="79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保障</w:t>
            </w:r>
          </w:p>
        </w:tc>
        <w:tc>
          <w:tcPr>
            <w:tcW w:type="dxa" w:w="907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现金流</w:t>
            </w:r>
          </w:p>
        </w:tc>
        <w:tc>
          <w:tcPr>
            <w:tcW w:type="dxa" w:w="1928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复算</w:t>
            </w:r>
          </w:p>
        </w:tc>
        <w:tc>
          <w:tcPr>
            <w:tcW w:type="dxa" w:w="170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企业经营者</w:t>
            </w:r>
          </w:p>
        </w:tc>
        <w:tc>
          <w:tcPr>
            <w:tcW w:type="dxa" w:w="102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95</w:t>
            </w:r>
          </w:p>
        </w:tc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95</w:t>
            </w:r>
          </w:p>
        </w:tc>
        <w:tc>
          <w:tcPr>
            <w:tcW w:type="dxa" w:w="90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72</w:t>
            </w:r>
          </w:p>
        </w:tc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35</w:t>
            </w:r>
          </w:p>
        </w:tc>
        <w:tc>
          <w:tcPr>
            <w:tcW w:type="dxa" w:w="90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95</w:t>
            </w:r>
          </w:p>
        </w:tc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392 ÷ 5 = 78.4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78 · 正常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家庭管钱者</w:t>
            </w:r>
          </w:p>
        </w:tc>
        <w:tc>
          <w:tcPr>
            <w:tcW w:type="dxa" w:w="1020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80</w:t>
            </w:r>
          </w:p>
        </w:tc>
        <w:tc>
          <w:tcPr>
            <w:tcW w:type="dxa" w:w="7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70</w:t>
            </w:r>
          </w:p>
        </w:tc>
        <w:tc>
          <w:tcPr>
            <w:tcW w:type="dxa" w:w="907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95</w:t>
            </w:r>
          </w:p>
        </w:tc>
        <w:tc>
          <w:tcPr>
            <w:tcW w:type="dxa" w:w="7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55</w:t>
            </w:r>
          </w:p>
        </w:tc>
        <w:tc>
          <w:tcPr>
            <w:tcW w:type="dxa" w:w="907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60</w:t>
            </w:r>
          </w:p>
        </w:tc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360 ÷ 5 = 72</w:t>
            </w:r>
          </w:p>
        </w:tc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72 · 正常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个人本人</w:t>
            </w:r>
          </w:p>
        </w:tc>
        <w:tc>
          <w:tcPr>
            <w:tcW w:type="dxa" w:w="102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40</w:t>
            </w:r>
          </w:p>
        </w:tc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45</w:t>
            </w:r>
          </w:p>
        </w:tc>
        <w:tc>
          <w:tcPr>
            <w:tcW w:type="dxa" w:w="90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95</w:t>
            </w:r>
          </w:p>
        </w:tc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35</w:t>
            </w:r>
          </w:p>
        </w:tc>
        <w:tc>
          <w:tcPr>
            <w:tcW w:type="dxa" w:w="90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40</w:t>
            </w:r>
          </w:p>
        </w:tc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255 ÷ 5 = 51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48 · 压力偏高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三档结果与各账号的实际账本口径一致：企业结余率 47.9%、家庭 27.7%、个人 0%。健康分当前取预设演示参数，不随流水导入或删除实时重算，页面与本文均明确披露。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3.5　税额测算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演示口径为小规模纳税人 2026 年三季度：季度销售额 ¥342,500，超过季度起征点 ¥300,000，适用 3% 征收率减按 1%。</w:t>
      </w:r>
    </w:p>
    <w:p>
      <w:pPr>
        <w:spacing w:before="80" w:after="120" w:line="372" w:lineRule="auto"/>
        <w:ind w:firstLine="0"/>
        <w:jc w:val="center"/>
      </w:pPr>
      <w:r>
        <w:rPr>
          <w:rFonts w:ascii="微软雅黑" w:hAnsi="微软雅黑" w:eastAsia="微软雅黑"/>
          <w:b/>
          <w:i w:val="0"/>
          <w:color w:val="8A6419"/>
          <w:sz w:val="26"/>
        </w:rPr>
        <w:t>342,500 × 1% = 3,425（元）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政策依据：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2026 年第 10 号公告第一条（季度销售额起征点 30 万元）；2023 年第 19 号公告第二条（符合条件的小规模纳税人 3% 征收率减按 1%）。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边界：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纳税人身份、业务类型、销售额口径、计税期间、发票与优惠适用条件均需核验；含税换算、专票不可免税等分支在追问时由模型自述假设。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定性：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本卡是测算，不是申报；不替代申报结果，不构成税法适用意见。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3.6　DTI 与提前还款模拟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DTI = 月还款合计 ÷ 月收入。企业口径为 (8,900 + 1,200) ÷ 120,000 ≈ 8.4%；家庭口径为 8,000 ÷ 39,860 ≈ 20.1%；个人口径为 8,000 ÷ 15,000 ≈ 53.3%（偏高）。提前还款模拟采用「月供按剩余余额等比摊还、剩余期数不变」的简化模型：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cut  = 当前贷款月供 pay × 提前还款额 amount ÷ 当前余额 bal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dti1 = (月供合计 total − cut) ÷ 月收入 income × 100%</w:t>
      </w:r>
    </w:p>
    <w:p>
      <w:pPr>
        <w:spacing w:before="0" w:after="120" w:line="372" w:lineRule="auto"/>
        <w:ind w:firstLine="0"/>
        <w:jc w:val="left"/>
      </w:pP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结果实时显示两列 DTI 与月供合计，并固定标注「按余额比例估算；不代表银行正式还款方案」。模拟不计算合同利息、期限变化与违约金，不写回任何账务数据；用户可保存方案（按账号键隔离，最多保留最近 100 个），也可删除。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3.7　应收排序与可疑交易扫描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应收台账按逾期天数倒序，输出「应收合计 / 逾期合计 / 最长逾期天数」，并给出今天的催收顺序（先催逾期最久的一笔）；没有台账时明确回答「不会凭空编客户」。演示基准日固定为 2026-10-27，保证每次演示口径一致。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可疑交易扫描是启发式规则，只有两条：支出金额 ≥ 5,000 且为 1,000 的整数倍（大额整数）；同一日期同一商户出现 2 笔相同支出（疑似重复扣款）。未命中时文案是「未命中当前演示规则」，并说明可能误报漏报，不外推为「交易安全」。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3.8　比例分摊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份额计算采用整数分单位：先按比例归一化得到原始份额，再对舍入误差做补偿，保证各成员份额之和严格等于总额。比例为「7:3」「我 6 你 4」或金额写法，未指定按人数均摊；「9:30」这类钟点格式先被排除，避免误判为比例。单据状态机为：草稿 → 待成员确认 → 全部确认 → 生成收款待办；全程只共享总额、比例、份额与状态，不共享任何一方的账本明细。</w:t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四、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数据模型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4.1　存储键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键</w:t>
            </w:r>
          </w:p>
        </w:tc>
        <w:tc>
          <w:tcPr>
            <w:tcW w:type="dxa" w:w="4876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内容</w:t>
            </w:r>
          </w:p>
        </w:tc>
        <w:tc>
          <w:tcPr>
            <w:tcW w:type="dxa" w:w="249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隔离方式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cxf-acct</w:t>
            </w:r>
          </w:p>
        </w:tc>
        <w:tc>
          <w:tcPr>
            <w:tcW w:type="dxa" w:w="4876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当前模式:账号（如 enterprise:operator）</w:t>
            </w:r>
          </w:p>
        </w:tc>
        <w:tc>
          <w:tcPr>
            <w:tcW w:type="dxa" w:w="24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单值，启动时恢复上次身份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cxf-txns</w:t>
            </w:r>
          </w:p>
        </w:tc>
        <w:tc>
          <w:tcPr>
            <w:tcW w:type="dxa" w:w="4876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本机流水数组（含一键演示导入）</w:t>
            </w:r>
          </w:p>
        </w:tc>
        <w:tc>
          <w:tcPr>
            <w:tcW w:type="dxa" w:w="24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每条带 owner 账号键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cxf-audit</w:t>
            </w:r>
          </w:p>
        </w:tc>
        <w:tc>
          <w:tcPr>
            <w:tcW w:type="dxa" w:w="4876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审计链记录数组</w:t>
            </w:r>
          </w:p>
        </w:tc>
        <w:tc>
          <w:tcPr>
            <w:tcW w:type="dxa" w:w="24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单链，记录全账号动作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cxf-sched</w:t>
            </w:r>
          </w:p>
        </w:tc>
        <w:tc>
          <w:tcPr>
            <w:tcW w:type="dxa" w:w="4876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定时转账任务</w:t>
            </w:r>
          </w:p>
        </w:tc>
        <w:tc>
          <w:tcPr>
            <w:tcW w:type="dxa" w:w="24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带 owner，findSched 双校验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cxf-split</w:t>
            </w:r>
          </w:p>
        </w:tc>
        <w:tc>
          <w:tcPr>
            <w:tcW w:type="dxa" w:w="4876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比例分摊单</w:t>
            </w:r>
          </w:p>
        </w:tc>
        <w:tc>
          <w:tcPr>
            <w:tcW w:type="dxa" w:w="24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按模式 + 成员校验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cxf-loan-plans</w:t>
            </w:r>
          </w:p>
        </w:tc>
        <w:tc>
          <w:tcPr>
            <w:tcW w:type="dxa" w:w="4876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贷款模拟方案（每账号最多 100 条）</w:t>
            </w:r>
          </w:p>
        </w:tc>
        <w:tc>
          <w:tcPr>
            <w:tcW w:type="dxa" w:w="24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对象，键为账号键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cxf-drafts</w:t>
            </w:r>
          </w:p>
        </w:tc>
        <w:tc>
          <w:tcPr>
            <w:tcW w:type="dxa" w:w="4876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转账 / 定时 / 分摊未完成草稿</w:t>
            </w:r>
          </w:p>
        </w:tc>
        <w:tc>
          <w:tcPr>
            <w:tcW w:type="dxa" w:w="24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按账号键分桶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cxf-llm</w:t>
            </w:r>
          </w:p>
        </w:tc>
        <w:tc>
          <w:tcPr>
            <w:tcW w:type="dxa" w:w="4876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模型 base 与 model（不含密钥）</w:t>
            </w:r>
          </w:p>
        </w:tc>
        <w:tc>
          <w:tcPr>
            <w:tcW w:type="dxa" w:w="24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单值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cxf-llm-key</w:t>
            </w:r>
          </w:p>
        </w:tc>
        <w:tc>
          <w:tcPr>
            <w:tcW w:type="dxa" w:w="4876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模型密钥</w:t>
            </w:r>
          </w:p>
        </w:tc>
        <w:tc>
          <w:tcPr>
            <w:tcW w:type="dxa" w:w="24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sessionStorage，关页失效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cxf-sugg-state</w:t>
            </w:r>
          </w:p>
        </w:tc>
        <w:tc>
          <w:tcPr>
            <w:tcW w:type="dxa" w:w="4876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今日建议的已读/忽略状态</w:t>
            </w:r>
          </w:p>
        </w:tc>
        <w:tc>
          <w:tcPr>
            <w:tcW w:type="dxa" w:w="24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单值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cxf-shop-idx</w:t>
            </w:r>
          </w:p>
        </w:tc>
        <w:tc>
          <w:tcPr>
            <w:tcW w:type="dxa" w:w="4876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演示店铺配色与名称下标</w:t>
            </w:r>
          </w:p>
        </w:tc>
        <w:tc>
          <w:tcPr>
            <w:tcW w:type="dxa" w:w="24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单值，仅演示外壳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cxf-hero-seen</w:t>
            </w:r>
          </w:p>
        </w:tc>
        <w:tc>
          <w:tcPr>
            <w:tcW w:type="dxa" w:w="4876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首屏价值主张是否已看过</w:t>
            </w:r>
          </w:p>
        </w:tc>
        <w:tc>
          <w:tcPr>
            <w:tcW w:type="dxa" w:w="24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单值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4.2　流水记录字段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字段</w:t>
            </w:r>
          </w:p>
        </w:tc>
        <w:tc>
          <w:tcPr>
            <w:tcW w:type="dxa" w:w="1928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类型</w:t>
            </w:r>
          </w:p>
        </w:tc>
        <w:tc>
          <w:tcPr>
            <w:tcW w:type="dxa" w:w="5669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date</w:t>
            </w:r>
          </w:p>
        </w:tc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日期原文，支持多种分隔符；归月由 txnMonth/txnYear 解析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merchant</w:t>
            </w:r>
          </w:p>
        </w:tc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string</w:t>
            </w:r>
          </w:p>
        </w:tc>
        <w:tc>
          <w:tcPr>
            <w:tcW w:type="dxa" w:w="566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商户 / 备注；导出时经 cxqCsvCell 转义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amount</w:t>
            </w:r>
          </w:p>
        </w:tc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number</w:t>
            </w:r>
          </w:p>
        </w:tc>
        <w:tc>
          <w:tcPr>
            <w:tcW w:type="dxa" w:w="566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金额（元，正数），方向由 type 表示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type</w:t>
            </w:r>
          </w:p>
        </w:tc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income | expense</w:t>
            </w:r>
          </w:p>
        </w:tc>
        <w:tc>
          <w:tcPr>
            <w:tcW w:type="dxa" w:w="566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收支方向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raw</w:t>
            </w:r>
          </w:p>
        </w:tc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来源标记：手动记一笔 / 导入文件名 / 一键演示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owner</w:t>
            </w:r>
          </w:p>
        </w:tc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string</w:t>
            </w:r>
          </w:p>
        </w:tc>
        <w:tc>
          <w:tcPr>
            <w:tcW w:type="dxa" w:w="566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账号键（模式:账号），跨账号读取的唯一依据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4.3　账号键与数据隔离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acctKey() = 当前模式 + ":" + 当前账号 id，例如 enterprise:operator、family:elder。所有读写账本的操作都必须带上这个键：流水用 owner 标记归属，读取时按当前键过滤；草稿、定时任务、分摊单、贷款方案分别以该键或「模式 + 成员」为索引。子账号除自有账本外，还通过挂载关系（attach）获得主账号分享的只读结论层，不含逐笔流水、员工薪酬、合同号、账户号与保单号。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切换账号时先把上一个账号的未完成草稿落盘，再载入目标账号的草稿与贷款方案；目标账号没有会话时把会话 ID 置空，避免继承上一账号的会话标识。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4.4　导入、导出与备份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导入：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支持 CSV 导入：格式与日期校验、非法行跳过并计数、相同日期+类型+金额+商户提示疑似重复（不擅自删除）。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导出：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账单 CSV 导出统一经 cxqCsvCell：双引号转义，并对以 = + - @ 开头的文本前置单引号，防止被电子表格当作公式执行。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备份：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JSON 备份恢复属于本机数据全局替换（流水、定时任务、分摊单、模型配置），确认框已明确提示；恢复后分别检查各集合的保存状态，部分失败时提示「已恢复到当前会话，但部分本地保存失败」。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容错：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恢复时对 cxf-txns / cxf-sched / cxf-split 做 Array.isArray 结构校验，非数组则回退为空数组，避免错误结构进入渲染。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4.5　领域实体关系（ER 图）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4.1–4.4 描述的是单文件演示版的落地形态：数据存在浏览器 localStorage 里。同一套业务语义另有一份设计态的实体关系模型——随包的《财小全-数据库建表脚本.sql》共 32 张表，用 7 张分图画出核心关系。下面三张与演示路径直接相关，图中实体名就是建表脚本里的表名，可以直接对照。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3256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5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72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8A7A57"/>
          <w:sz w:val="17"/>
        </w:rPr>
        <w:t>图 3　账号与身份：一个登录账号 × 三种模式身份，每个身份一本账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图 3 的要点是「账号」和「身份」不是一回事：王建国只有一个手机号账号，却有企业、个人、家庭三个主账号身份；晨曦科技作为子账号，是以「企业·投资人」这个身份去看他的企业账，而不是共用他的登录账号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073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07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72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8A7A57"/>
          <w:sz w:val="17"/>
        </w:rPr>
        <w:t>图 4　授权链：book_share 把主账号账本挂载给子账号（只读、按粒度脱敏、可收回）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图 4 把「挂载」画成了独立实体 book_share：它同时指向主账号身份、子账号身份和被挂载的账本，授权关系因此可以被单独设有效期、单独收回，而不是写死在子账号上。脱敏规则（visibility_rule）与敏感动作（sensitive_action）挂在同一条挂载关系上，查看动作记入 audit_log。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2000" cy="4544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544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72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8A7A57"/>
          <w:sz w:val="17"/>
        </w:rPr>
        <w:t>图 5　账域数据流：账 → 流水 → 票据 → 发票，异常与证据链挂在流水上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账是四轮测算的唯一数据源。流水一经导入不可编辑，只能作废冲正；票据允许为空，用来表达「缺票」；发票对票据是一对零或一；异常与证据链都挂在流水上，保证每一条结论都能回指到具体凭证。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49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演示版落地</w:t>
            </w:r>
          </w:p>
        </w:tc>
        <w:tc>
          <w:tcPr>
            <w:tcW w:type="dxa" w:w="306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对应实体</w:t>
            </w:r>
          </w:p>
        </w:tc>
        <w:tc>
          <w:tcPr>
            <w:tcW w:type="dxa" w:w="3742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ACCOUNTS 常量 / cxf-acct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account、account_identity、role</w:t>
            </w:r>
          </w:p>
        </w:tc>
        <w:tc>
          <w:tcPr>
            <w:tcW w:type="dxa" w:w="3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一个登录账号按模式拆成多个身份，每个身份担任一个角色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cxf-txns 的 owner 字段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book、txn</w:t>
            </w:r>
          </w:p>
        </w:tc>
        <w:tc>
          <w:tcPr>
            <w:tcW w:type="dxa" w:w="374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每个身份一本「自己的账本」，流水挂在账本下，owner 即账本所有者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attach 挂载关系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book_share</w:t>
            </w:r>
          </w:p>
        </w:tc>
        <w:tc>
          <w:tcPr>
            <w:tcW w:type="dxa" w:w="3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主账号身份把账本挂给子账号身份，子账号只读、主账号可收回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可见粒度 GRAN_TICKS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visibility_rule</w:t>
            </w:r>
          </w:p>
        </w:tc>
        <w:tc>
          <w:tcPr>
            <w:tcW w:type="dxa" w:w="374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完整明细 / 通俗摘要 / 测算结论三级，每级规定隐藏哪些内容主题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二次确认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sensitive_action</w:t>
            </w:r>
          </w:p>
        </w:tc>
        <w:tc>
          <w:tcPr>
            <w:tcW w:type="dxa" w:w="3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敏感动作（转账、挂失等）执行前再确认一次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cxf-audit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audit_log</w:t>
            </w:r>
          </w:p>
        </w:tc>
        <w:tc>
          <w:tcPr>
            <w:tcW w:type="dxa" w:w="374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每次查看与操作留痕，记录操作身份、动作与对象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会话 ID 与会话隔离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conversation</w:t>
            </w:r>
          </w:p>
        </w:tc>
        <w:tc>
          <w:tcPr>
            <w:tcW w:type="dxa" w:w="374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会话归属身份，按「模式:账号」隔离，不跨账号继承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4.6　身份与授权流程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68000" cy="78642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786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72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8A7A57"/>
          <w:sz w:val="17"/>
        </w:rPr>
        <w:t>图 6　子账号申请审批与权限流：申请 → 审批 → 授权范围与有效期 → 随时收回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账号分主账号与子账号两级：主账号 3 个（企业经营者、个人本人、家庭管钱者），子账号按角色授权（企业侧有投资人、财务、协作，个人侧有顾问，家庭侧有消费成员与长辈关怀）。子账号不是「另开一个账号看同一份数据」，而要经过一条明确流程：申请 → 主账号审批 → 生成授权范围与有效期 → 子账号登录，只读结论级 → 请求越权则拒答 → 主账号可随时收回，收回后即时失效。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流程上有三处与代码一一对应：其一，授权带有效期，主账号收回后即时失效，旧的入口不再可用；其二，子账号界面里绿色是自有账本、蓝色是主账号分享的结论级数据，两类数据在视觉上分开，避免把别人的账当成自己的；其三，请求越权时统一返回拒答模板 F——说明授权范围、建议切换主账号，不给出明细流水号、员工薪酬、合同号、账户号与保单号。权限位是 read / write / main 三种，子账号没有权限的技能在界面上直接显示为锁定态，点开会提示申请，并写一条「技能被拒绝」审计。</w:t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五、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Agent 与模型接入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5.1　身份注入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agentIdentity() 生成四行身份说明：运行模式、当前账号（角色 · 主／子账号）、所属组织、数据权限与关怀模式。子账号的权限描述明确写入「只读、只到结论层、不得给出明细流水号、逐笔金额、员工薪酬、合同号、账户号、保单号」。身份说明随每次请求进入 system 提示词，使模型在语言层面也知道自己当前是谁。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5.2　数据上下文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agentDataContext() 按「当前模式 + 当前账号」装配上下文，包含：账本名称与身份、近三个月逐月收支、最近一个月收入/支出/净流入、支出构成、最近 20 笔本机流水；子账号额外附主账号分享的只读汇总；以及结构化台账（贷款余额/月供/利率、月供合计、可动用存款、DTI 算式、刚性支出、订阅代扣、待核对凭证、应收账款）。末尾固定写入数据边界：三模式完全隔离，其他模式与其他账号的数据不得引用、猜测或编造；缺失记录时回答「当前账本没有这笔记录」。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5.3　上下文脱敏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发往第三方模型前，cxqMaskSensitive() 对三类字段做掩码：卡号（前 4 后 4，中间 8–11 位）、手机号（前 3 后 4）、身份证号（前 6 后 4）。系统提示词、历史消息、用户输入在组装 messages 时全部过一遍脱敏函数。该处理降低明文暴露面，但不等于完全匿名化——这一点在安全报告中单独列为残余风险。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5.4　流式调用参数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参数</w:t>
            </w:r>
          </w:p>
        </w:tc>
        <w:tc>
          <w:tcPr>
            <w:tcW w:type="dxa" w:w="317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值</w:t>
            </w:r>
          </w:p>
        </w:tc>
        <w:tc>
          <w:tcPr>
            <w:tcW w:type="dxa" w:w="4309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endpoint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{base}/chat/completions</w:t>
            </w:r>
          </w:p>
        </w:tc>
        <w:tc>
          <w:tcPr>
            <w:tcW w:type="dxa" w:w="430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OpenAI 兼容；默认 https://api.deepseek.com/v1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model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deepseek-chat（可改）</w:t>
            </w:r>
          </w:p>
        </w:tc>
        <w:tc>
          <w:tcPr>
            <w:tcW w:type="dxa" w:w="430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任意兼容模型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stream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true</w:t>
            </w:r>
          </w:p>
        </w:tc>
        <w:tc>
          <w:tcPr>
            <w:tcW w:type="dxa" w:w="430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SSE 逐块解析 data: 行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temperature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0.3</w:t>
            </w:r>
          </w:p>
        </w:tc>
        <w:tc>
          <w:tcPr>
            <w:tcW w:type="dxa" w:w="430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偏确定性，减少同问不同答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history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最近 10 条</w:t>
            </w:r>
          </w:p>
        </w:tc>
        <w:tc>
          <w:tcPr>
            <w:tcW w:type="dxa" w:w="430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按模式:账号 + 会话隔离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超时 / 错误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HTTP 非 2xx 抛错并提示状态码</w:t>
            </w:r>
          </w:p>
        </w:tc>
        <w:tc>
          <w:tcPr>
            <w:tcW w:type="dxa" w:w="430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单块解析失败跳过，不中断整段回答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5.5　降级路径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llmReady() 只在同时存在 key 与 base 时为真。未配置密钥时，长句自由提问走 cxqOfflineAnswer(v)：不同问题给不同离线答复，核心卡片功能不受影响；配置密钥后，长句一律转发模型，只有极短直达词（如只说「账」）才出固定测算卡。两条路径都会写审计日志，回答已切到模型时会明确标注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5.6　密钥生命周期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密钥只写 sessionStorage（cxf-llm-key），关闭标签页即失效；历史版本曾把密钥写进 localStorage 的 cxf-llm，llmConfig() 在读取时会把明文迁移到会话存储并删除长期副本。导出备份不含密钥，清除密钥有独立入口且写审计。模型调用由浏览器直连服务商，不经过项目方服务器。</w:t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六、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安全设计摘要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本章只作摘要，完整评估见《04 安全自评报告》。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控制</w:t>
            </w:r>
          </w:p>
        </w:tc>
        <w:tc>
          <w:tcPr>
            <w:tcW w:type="dxa" w:w="4422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实现要点</w:t>
            </w:r>
          </w:p>
        </w:tc>
        <w:tc>
          <w:tcPr>
            <w:tcW w:type="dxa" w:w="306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失败行为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权限门控</w:t>
            </w:r>
          </w:p>
        </w:tc>
        <w:tc>
          <w:tcPr>
            <w:tcW w:type="dxa" w:w="442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3 个权限码 × 7 个账号；launchSkill 先查 hasPerm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锁定态 + 提示申请 + 写「技能被拒绝」审计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越权拦截</w:t>
            </w:r>
          </w:p>
        </w:tc>
        <w:tc>
          <w:tcPr>
            <w:tcW w:type="dxa" w:w="442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子账号问工资/薪酬/员工/明细流水/卡号/逐笔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拒绝卡，说明授权范围并建议切换主账号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提示词注入</w:t>
            </w:r>
          </w:p>
        </w:tc>
        <w:tc>
          <w:tcPr>
            <w:tcW w:type="dxa" w:w="442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cxqDetectInjection 正则命中即短路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红色阻断卡 + 风险审计，不执行任何操作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电诈话术</w:t>
            </w:r>
          </w:p>
        </w:tc>
        <w:tc>
          <w:tcPr>
            <w:tcW w:type="dxa" w:w="442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七类特征组合判定（冒充客服/安全账户/涉案/理赔/保密/屏幕共享/偷偷转账）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风险卡 + 96110 指引 + 风险审计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写操作</w:t>
            </w:r>
          </w:p>
        </w:tc>
        <w:tc>
          <w:tcPr>
            <w:tcW w:type="dxa" w:w="442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cxqDetectWrite → cxqProposeWrite → 二次确认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不确认不执行；资金类只生成待办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导出安全</w:t>
            </w:r>
          </w:p>
        </w:tc>
        <w:tc>
          <w:tcPr>
            <w:tcW w:type="dxa" w:w="442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cxqCsvCell 公式注入防护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文本字段前置单引号，金额列保持可计算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审计追溯</w:t>
            </w:r>
          </w:p>
        </w:tc>
        <w:tc>
          <w:tcPr>
            <w:tcW w:type="dxa" w:w="442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FNV-1a 32 位链式哈希 + verifyAuditChain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断链时定位到第几条，非加密签名（见 04）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七、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接口说明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7.1　模型接口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POST {base}/chat/completions，Bearer 鉴权，请求体为 OpenAI 兼容格式；响应按 SSE 解析，取 choices[0].delta.content 逐块渲染。代理模式下改为解析 conversation.message.delta 与 conversation.message.completed 事件，completed 用于校准整段答案。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7.2　备份 JSON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tblHeader w:val="true"/>
        </w:trPr>
        <w:tc>
          <w:tcPr>
            <w:tcW w:type="dxa" w:w="1928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字段</w:t>
            </w:r>
          </w:p>
        </w:tc>
        <w:tc>
          <w:tcPr>
            <w:tcW w:type="dxa" w:w="7143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txns</w:t>
            </w:r>
          </w:p>
        </w:tc>
        <w:tc>
          <w:tcPr>
            <w:tcW w:type="dxa" w:w="714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本机流水数组（可含各账号 owner）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sched</w:t>
            </w:r>
          </w:p>
        </w:tc>
        <w:tc>
          <w:tcPr>
            <w:tcW w:type="dxa" w:w="7143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定时任务数组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split</w:t>
            </w:r>
          </w:p>
        </w:tc>
        <w:tc>
          <w:tcPr>
            <w:tcW w:type="dxa" w:w="714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分摊单数组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llm</w:t>
            </w:r>
          </w:p>
        </w:tc>
        <w:tc>
          <w:tcPr>
            <w:tcW w:type="dxa" w:w="7143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{ base, model }，不含密钥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新增流水</w:t>
            </w:r>
          </w:p>
        </w:tc>
        <w:tc>
          <w:tcPr>
            <w:tcW w:type="dxa" w:w="7143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逐行做日期与字段校验，非法行跳过并计数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7.3　账单 CSV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列：日期, 类型, 商户/备注, 金额。文本列全部经 cxqCsvCell 转义；金额列由程序生成带符号的两位小数，保持可计算。文件带 UTF-8 BOM，便于 Excel/WPS 直接打开。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7.4　审计报告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exportAuditReport() 导出本次会话的完整操作时间轴（动作、对象、时间、链状态），用于演示回放与事后核对。报告中明确标注「本地演示日志，非服务端不可篡改审计」。</w:t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八、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测试与验证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本版把「代码级验证」与「浏览器端到端验证」分开陈述，不把静态检查通过写成全部实测通过。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检查项</w:t>
            </w:r>
          </w:p>
        </w:tc>
        <w:tc>
          <w:tcPr>
            <w:tcW w:type="dxa" w:w="3969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方法</w:t>
            </w:r>
          </w:p>
        </w:tc>
        <w:tc>
          <w:tcPr>
            <w:tcW w:type="dxa" w:w="3402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内联 JavaScript 语法</w:t>
            </w:r>
          </w:p>
        </w:tc>
        <w:tc>
          <w:tcPr>
            <w:tcW w:type="dxa" w:w="396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提取脚本后用 new Function 解析（不执行）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静态 id 唯一性</w:t>
            </w:r>
          </w:p>
        </w:tc>
        <w:tc>
          <w:tcPr>
            <w:tcW w:type="dxa" w:w="396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全文比对 id 属性</w:t>
            </w:r>
          </w:p>
        </w:tc>
        <w:tc>
          <w:tcPr>
            <w:tcW w:type="dxa" w:w="340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93 个 id，重复 0 个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流水归月逻辑</w:t>
            </w:r>
          </w:p>
        </w:tc>
        <w:tc>
          <w:tcPr>
            <w:tcW w:type="dxa" w:w="396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定向样例：2026-09 有效、2025 年、2026-10、无日期、9/12、非法月份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通过（基线 100+20 / 50+10，窗口内 2 笔，窗口外与不可归月 5 笔）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健康分自检</w:t>
            </w:r>
          </w:p>
        </w:tc>
        <w:tc>
          <w:tcPr>
            <w:tcW w:type="dxa" w:w="396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checkCalcs() 校验五维之和与总分</w:t>
            </w:r>
          </w:p>
        </w:tc>
        <w:tc>
          <w:tcPr>
            <w:tcW w:type="dxa" w:w="340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贷款方案数量上限</w:t>
            </w:r>
          </w:p>
        </w:tc>
        <w:tc>
          <w:tcPr>
            <w:tcW w:type="dxa" w:w="396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保存后裁剪为最近 100 条再持久化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已修改，语法通过；101 条边界未在浏览器实测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浏览器端到端</w:t>
            </w:r>
          </w:p>
        </w:tc>
        <w:tc>
          <w:tcPr>
            <w:tcW w:type="dxa" w:w="396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Playwright / Chromium 打开本地文件</w:t>
            </w:r>
          </w:p>
        </w:tc>
        <w:tc>
          <w:tcPr>
            <w:tcW w:type="dxa" w:w="340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未完成：被环境策略阻断（ERR_BLOCKED_BY_ADMINISTRATOR），不计为通过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随包附《测试用例清单》，覆盖身份切换、CSV 导入与看板一致性、一键演示与回滚、贷款方案保存/刷新/切号、审计刷新恢复、备份恢复、离线演示等路径，供人工逐项记录通过／失败／待测。</w:t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九、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已知限制与演进路线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9.1　已知限制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演示基线与导入流水不是同一数据源：税务、贷款、健康分、保障使用独立预设参数，导入流水只影响看板与月报。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身份切换是前端演示隔离，不是服务器授权；预置账号与本地存储不能替代后端鉴权。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审计链是本地完整性提示机制，不是不可篡改的合规审计。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JSON 恢复是全局覆盖操作，需要先备份；当前不支持按账号选择性合并。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外部模型调用的隐私边界取决于配置的服务商，脱敏不等于完全匿名化。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CSV 解析器不支持字段内含换行的复杂文件；缺年份的日期会被跳过而不推断。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一键演示的回滚快照保存在页面内存，刷新后失效。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尚未完成真实浏览器与移动端的端到端回归。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9.2　演进路线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阶段</w:t>
            </w:r>
          </w:p>
        </w:tc>
        <w:tc>
          <w:tcPr>
            <w:tcW w:type="dxa" w:w="3628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目标</w:t>
            </w:r>
          </w:p>
        </w:tc>
        <w:tc>
          <w:tcPr>
            <w:tcW w:type="dxa" w:w="351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关键改造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当前（原型）</w:t>
            </w:r>
          </w:p>
        </w:tc>
        <w:tc>
          <w:tcPr>
            <w:tcW w:type="dxa" w:w="36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可复算、可举证、可回放的演示闭环</w:t>
            </w:r>
          </w:p>
        </w:tc>
        <w:tc>
          <w:tcPr>
            <w:tcW w:type="dxa" w:w="351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单文件、无后端、本机存储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第二阶段（服务化）</w:t>
            </w:r>
          </w:p>
        </w:tc>
        <w:tc>
          <w:tcPr>
            <w:tcW w:type="dxa" w:w="36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把演示闭环变成可审计的服务</w:t>
            </w:r>
          </w:p>
        </w:tc>
        <w:tc>
          <w:tcPr>
            <w:tcW w:type="dxa" w:w="351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后端鉴权与账号体系；服务端签名审计与可信时间源；票据 OCR；会话与密钥托管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第三阶段（生态）</w:t>
            </w:r>
          </w:p>
        </w:tc>
        <w:tc>
          <w:tcPr>
            <w:tcW w:type="dxa" w:w="36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接入真实数据与多端协同</w:t>
            </w:r>
          </w:p>
        </w:tc>
        <w:tc>
          <w:tcPr>
            <w:tcW w:type="dxa" w:w="351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银行开放平台与电子发票接口；多端同步与家属协同；风控规则由启发式升级为模型 + 规则双引擎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附录 A　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函数索引（节选）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7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模块</w:t>
            </w:r>
          </w:p>
        </w:tc>
        <w:tc>
          <w:tcPr>
            <w:tcW w:type="dxa" w:w="4649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代表函数</w:t>
            </w:r>
          </w:p>
        </w:tc>
        <w:tc>
          <w:tcPr>
            <w:tcW w:type="dxa" w:w="306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路由</w:t>
            </w:r>
          </w:p>
        </w:tc>
        <w:tc>
          <w:tcPr>
            <w:tcW w:type="dxa" w:w="464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cxqRoute / cxqDecide / cxqAttachDecisions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优先级判定、决策留痕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身份</w:t>
            </w:r>
          </w:p>
        </w:tc>
        <w:tc>
          <w:tcPr>
            <w:tcW w:type="dxa" w:w="464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acctOf / curAcct / acctKey / setAccount / agentIdentity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身份解析与数据边界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账本</w:t>
            </w:r>
          </w:p>
        </w:tc>
        <w:tc>
          <w:tcPr>
            <w:tcW w:type="dxa" w:w="464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ledger / sharedLedger / merge / txnMonth / txnYear / myTxns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归月合并与只读分享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税务</w:t>
            </w:r>
          </w:p>
        </w:tc>
        <w:tc>
          <w:tcPr>
            <w:tcW w:type="dxa" w:w="464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quickData('税') / cxqFundPlan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税额与资金安排测算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信贷</w:t>
            </w:r>
          </w:p>
        </w:tc>
        <w:tc>
          <w:tcPr>
            <w:tcW w:type="dxa" w:w="464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simState / onSimRange / saveSimPlan / persistPlansForAccount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DTI 与提前还款模拟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保障</w:t>
            </w:r>
          </w:p>
        </w:tc>
        <w:tc>
          <w:tcPr>
            <w:tcW w:type="dxa" w:w="464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quickData('保')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缺口测算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分摊</w:t>
            </w:r>
          </w:p>
        </w:tc>
        <w:tc>
          <w:tcPr>
            <w:tcW w:type="dxa" w:w="464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cxqSplitIntent / splitShare / cxqSplitConfirm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份额归一与多方确认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安全</w:t>
            </w:r>
          </w:p>
        </w:tc>
        <w:tc>
          <w:tcPr>
            <w:tcW w:type="dxa" w:w="464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cxqDetectInjection / cxqDetectPhishing / cxqDetectWrite / cxqMaskSensitive / cxqCsvCell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输入与导出安全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审计</w:t>
            </w:r>
          </w:p>
        </w:tc>
        <w:tc>
          <w:tcPr>
            <w:tcW w:type="dxa" w:w="464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logAudit / cxqHash / verifyAuditChain / exportAuditReport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链式留痕与回放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模型</w:t>
            </w:r>
          </w:p>
        </w:tc>
        <w:tc>
          <w:tcPr>
            <w:tcW w:type="dxa" w:w="464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cxqChatDirect / askAgent / cxqOfflineAnswer / llmConfig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流式调用与降级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附录 B　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术语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tblHeader w:val="true"/>
        </w:trPr>
        <w:tc>
          <w:tcPr>
            <w:tcW w:type="dxa" w:w="181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术语</w:t>
            </w:r>
          </w:p>
        </w:tc>
        <w:tc>
          <w:tcPr>
            <w:tcW w:type="dxa" w:w="7257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账号键</w:t>
            </w:r>
          </w:p>
        </w:tc>
        <w:tc>
          <w:tcPr>
            <w:tcW w:type="dxa" w:w="725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「模式:账号」组成的复合键，所有数据读写与隔离的唯一依据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可见粒度</w:t>
            </w:r>
          </w:p>
        </w:tc>
        <w:tc>
          <w:tcPr>
            <w:tcW w:type="dxa" w:w="7257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明细 / 摘要 / 结论三层，决定子账号能看到什么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待确认指令</w:t>
            </w:r>
          </w:p>
        </w:tc>
        <w:tc>
          <w:tcPr>
            <w:tcW w:type="dxa" w:w="725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系统生成的转账、定时、分摊动作草案，需用户点击确认，不直达资金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决策过程</w:t>
            </w:r>
          </w:p>
        </w:tc>
        <w:tc>
          <w:tcPr>
            <w:tcW w:type="dxa" w:w="7257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挂在回复底部的折叠条，说明本次走了哪个分支、为什么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审计链</w:t>
            </w:r>
          </w:p>
        </w:tc>
        <w:tc>
          <w:tcPr>
            <w:tcW w:type="dxa" w:w="7257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每条记录携带前序哈希的链式日志，用于演示回放与断链定位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sectPr w:rsidR="00FC693F" w:rsidRPr="0006063C" w:rsidSect="00034616">
      <w:footerReference w:type="default" r:id="rId9"/>
      <w:pgSz w:w="11906" w:h="16838"/>
      <w:pgMar w:top="1247" w:right="1191" w:bottom="1134" w:left="1304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8A7A57"/>
        <w:sz w:val="17"/>
      </w:rPr>
      <w:t xml:space="preserve">财小全 · 技术文档 V1.1　·　第 </w:t>
    </w:r>
    <w:fldSimple w:instr="PAGE">
      <w:r>
        <w:t>1</w:t>
      </w:r>
    </w:fldSimple>
    <w:r>
      <w:rPr>
        <w:rFonts w:ascii="微软雅黑" w:hAnsi="微软雅黑" w:eastAsia="微软雅黑"/>
        <w:b w:val="0"/>
        <w:i w:val="0"/>
        <w:color w:val="8A7A57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