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6.png" ContentType="image/png"/>
  <Override PartName="/word/media/rId27.png" ContentType="image/png"/>
  <Override PartName="/word/media/rId30.png" ContentType="image/png"/>
  <Override PartName="/word/media/rId33.png" ContentType="image/png"/>
  <Override PartName="/word/media/rId34.png" ContentType="image/png"/>
  <Override PartName="/word/media/rId3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Channel</w:t>
      </w:r>
      <w:r>
        <w:t xml:space="preserve"> </w:t>
      </w:r>
      <w:r>
        <w:t xml:space="preserve">Islands</w:t>
      </w:r>
      <w:r>
        <w:t xml:space="preserve"> </w:t>
      </w:r>
      <w:r>
        <w:t xml:space="preserve">National</w:t>
      </w:r>
      <w:r>
        <w:t xml:space="preserve"> </w:t>
      </w:r>
      <w:r>
        <w:t xml:space="preserve">Marine</w:t>
      </w:r>
      <w:r>
        <w:t xml:space="preserve"> </w:t>
      </w:r>
      <w:r>
        <w:t xml:space="preserve">Sanctuary</w:t>
      </w:r>
      <w:r>
        <w:t xml:space="preserve"> </w:t>
      </w:r>
      <w:r>
        <w:t xml:space="preserve">-</w:t>
      </w:r>
      <w:r>
        <w:t xml:space="preserve"> </w:t>
      </w:r>
      <w:r>
        <w:t xml:space="preserve">Condition</w:t>
      </w:r>
      <w:r>
        <w:t xml:space="preserve"> </w:t>
      </w:r>
      <w:r>
        <w:t xml:space="preserve">Report,</w:t>
      </w:r>
      <w:r>
        <w:t xml:space="preserve"> </w:t>
      </w:r>
      <w:r>
        <w:t xml:space="preserve">2016</w:t>
      </w:r>
    </w:p>
    <w:p>
      <w:pPr>
        <w:pStyle w:val="Heading1"/>
      </w:pPr>
      <w:bookmarkStart w:id="21" w:name="frontmatter"/>
      <w:r>
        <w:t xml:space="preserve">Frontmatter</w:t>
      </w:r>
      <w:bookmarkEnd w:id="21"/>
    </w:p>
    <w:p>
      <w:pPr>
        <w:pStyle w:val="FirstParagraph"/>
      </w:pPr>
      <w:r>
        <w:t xml:space="preserve">U.S. Secretary of Commerce</w:t>
      </w:r>
      <w:r>
        <w:t xml:space="preserve"> </w:t>
      </w:r>
      <w:r>
        <w:t xml:space="preserve"> </w:t>
      </w:r>
      <w:r>
        <w:t xml:space="preserve">Wilbur Ross</w:t>
      </w:r>
    </w:p>
    <w:p>
      <w:pPr>
        <w:pStyle w:val="BodyText"/>
      </w:pPr>
      <w:r>
        <w:t xml:space="preserve">Under Secretary of National Oceanic and Atmospheric Administration (NOAA)</w:t>
      </w:r>
      <w:r>
        <w:t xml:space="preserve"> </w:t>
      </w:r>
      <w:r>
        <w:t xml:space="preserve"> </w:t>
      </w:r>
      <w:r>
        <w:t xml:space="preserve">RDML Tim Gallaudet, Ph.D., USN Ret. (acting)</w:t>
      </w:r>
    </w:p>
    <w:p>
      <w:pPr>
        <w:pStyle w:val="BodyText"/>
      </w:pPr>
      <w:r>
        <w:t xml:space="preserve">Assistant Administrator for National Ocean Service</w:t>
      </w:r>
      <w:r>
        <w:t xml:space="preserve"> </w:t>
      </w:r>
      <w:r>
        <w:t xml:space="preserve"> </w:t>
      </w:r>
      <w:r>
        <w:t xml:space="preserve">W. Russell Callender, Ph.D.</w:t>
      </w:r>
    </w:p>
    <w:p>
      <w:pPr>
        <w:pStyle w:val="BodyText"/>
      </w:pPr>
      <w:r>
        <w:t xml:space="preserve">Director, Office of National Marine Sanctuaries</w:t>
      </w:r>
      <w:r>
        <w:t xml:space="preserve"> </w:t>
      </w:r>
      <w:r>
        <w:t xml:space="preserve"> </w:t>
      </w:r>
      <w:r>
        <w:t xml:space="preserve">John Armor</w:t>
      </w:r>
    </w:p>
    <w:p>
      <w:pPr>
        <w:pStyle w:val="BodyText"/>
      </w:pPr>
      <w:r>
        <w:drawing>
          <wp:inline>
            <wp:extent cx="2519395" cy="882427"/>
            <wp:effectExtent b="0" l="0" r="0" t="0"/>
            <wp:docPr descr="" title="" id="1" name="Picture"/>
            <a:graphic>
              <a:graphicData uri="http://schemas.openxmlformats.org/drawingml/2006/picture">
                <pic:pic>
                  <pic:nvPicPr>
                    <pic:cNvPr descr="./figures/p002_logos.png" id="0" name="Picture"/>
                    <pic:cNvPicPr>
                      <a:picLocks noChangeArrowheads="1" noChangeAspect="1"/>
                    </pic:cNvPicPr>
                  </pic:nvPicPr>
                  <pic:blipFill>
                    <a:blip r:embed="rId22"/>
                    <a:stretch>
                      <a:fillRect/>
                    </a:stretch>
                  </pic:blipFill>
                  <pic:spPr bwMode="auto">
                    <a:xfrm>
                      <a:off x="0" y="0"/>
                      <a:ext cx="2519395" cy="882427"/>
                    </a:xfrm>
                    <a:prstGeom prst="rect">
                      <a:avLst/>
                    </a:prstGeom>
                    <a:noFill/>
                    <a:ln w="9525">
                      <a:noFill/>
                      <a:headEnd/>
                      <a:tailEnd/>
                    </a:ln>
                  </pic:spPr>
                </pic:pic>
              </a:graphicData>
            </a:graphic>
          </wp:inline>
        </w:drawing>
      </w:r>
    </w:p>
    <w:p>
      <w:pPr>
        <w:pStyle w:val="BodyText"/>
      </w:pPr>
      <w:r>
        <w:t xml:space="preserve">Cover photos (left to right, from top): Giant kelp, spiny lobster, sunburst anemone, bat star, Anacapa Island, Chumash tomol crossing, blue whale</w:t>
      </w:r>
    </w:p>
    <w:p>
      <w:pPr>
        <w:pStyle w:val="BodyText"/>
      </w:pPr>
      <w:r>
        <w:t xml:space="preserve">Photo credits (left to right, from top): Robert Schwemmer/NOAA, Claire Fackler/NOAA, Evan Barba, Claire Fackler/NOAA, Robert Schwemmer/NOAA, Robert Schwemmer/NOAA, Jess Morton/NOAA</w:t>
      </w:r>
    </w:p>
    <w:p>
      <w:pPr>
        <w:pStyle w:val="BodyText"/>
      </w:pPr>
      <w:r>
        <w:t xml:space="preserve">Suggested Citation</w:t>
      </w:r>
    </w:p>
    <w:p>
      <w:pPr>
        <w:pStyle w:val="BodyText"/>
      </w:pPr>
      <w:r>
        <w:t xml:space="preserve">Office of National Marine Sanctuaries. 2018. Channel Islands National Marine Sanctuary 2016 Condition Report, Volume I. U.S. Department of Commerce, National Oceanic and Atmospheric Administration, Office of National Marine Sanctuaries, Silver Spring, MD. 343 pp.</w:t>
      </w:r>
    </w:p>
    <w:p>
      <w:pPr>
        <w:pStyle w:val="Heading1"/>
      </w:pPr>
      <w:bookmarkStart w:id="23" w:name="site-history-and-resources"/>
      <w:r>
        <w:t xml:space="preserve">Site History and Resources</w:t>
      </w:r>
      <w:bookmarkEnd w:id="23"/>
    </w:p>
    <w:p>
      <w:pPr>
        <w:pStyle w:val="Heading2"/>
      </w:pPr>
      <w:bookmarkStart w:id="24" w:name="overview"/>
      <w:r>
        <w:t xml:space="preserve">Overview</w:t>
      </w:r>
      <w:bookmarkEnd w:id="24"/>
    </w:p>
    <w:p>
      <w:pPr>
        <w:pStyle w:val="FirstParagraph"/>
      </w:pPr>
      <w:r>
        <w:t xml:space="preserve">Channel Islands National Marine Sanctuary is located off the coast of Santa Barbara and Ventura counties in southern California, 350 miles south of San Francisco and 95 miles north of Los Angeles.</w:t>
      </w:r>
      <w:r>
        <w:t xml:space="preserve"> </w:t>
      </w:r>
      <w:r>
        <w:t xml:space="preserve">The sanctuary encompasses 1,470 square statute miles (1,110 square nautical miles) of ocean waters surrounding San Miguel, Santa Rosa, Santa Cruz, Anacapa, and Santa Barbara Islands, extending from mean high tide to six nautical miles offshore around each of these five islands (Figures SH.1, SH.2).</w:t>
      </w:r>
      <w:r>
        <w:t xml:space="preserve"> </w:t>
      </w:r>
      <w:r>
        <w:t xml:space="preserve">The sanctuary was federally designated in 1980 because of its</w:t>
      </w:r>
      <w:r>
        <w:t xml:space="preserve"> </w:t>
      </w:r>
      <w:r>
        <w:t xml:space="preserve">national significance as an area of exceptional natural beauty and</w:t>
      </w:r>
      <w:r>
        <w:t xml:space="preserve"> </w:t>
      </w:r>
      <w:r>
        <w:t xml:space="preserve">resources, and due to heightened concerns following the 1969 oil</w:t>
      </w:r>
      <w:r>
        <w:t xml:space="preserve"> </w:t>
      </w:r>
      <w:r>
        <w:t xml:space="preserve">spill in the Santa Barbara Channel. It is administered by NOAA,</w:t>
      </w:r>
      <w:r>
        <w:t xml:space="preserve"> </w:t>
      </w:r>
      <w:r>
        <w:t xml:space="preserve">within the U.S. Department of Commerce, and managed to promote ecosystem conservation, protect cultural resources, and support compatible human uses.</w:t>
      </w:r>
    </w:p>
    <w:p>
      <w:pPr>
        <w:pStyle w:val="Heading3"/>
      </w:pPr>
      <w:bookmarkStart w:id="25" w:name="box"/>
      <w:r>
        <w:t xml:space="preserve">BOX</w:t>
      </w:r>
      <w:bookmarkEnd w:id="25"/>
    </w:p>
    <w:p>
      <w:pPr>
        <w:pStyle w:val="FirstParagraph"/>
      </w:pPr>
      <w:r>
        <w:t xml:space="preserve">The sanctuary surrounds and partially overlaps Channel Islands National Park, a terrestrial and marine protected area of national and global significance. The park is administered by the Department of the Interior’s National Park Service. The park consists of 250,000 acres of land on San Miguel, Santa Rosa, Santa Cruz, Anacapa, and Santa Barbara Islands, and waters within one nautical mile of each island (Figure SH.1). Channel Islands National Park monitors and protects threatened and endangered species, restores ecosystems, and preserves the natural and cultural resources for current and future generations.</w:t>
      </w:r>
    </w:p>
    <w:p>
      <w:pPr>
        <w:pStyle w:val="CaptionedFigure"/>
      </w:pPr>
      <w:r>
        <w:drawing>
          <wp:inline>
            <wp:extent cx="4629549" cy="3555289"/>
            <wp:effectExtent b="0" l="0" r="0" t="0"/>
            <wp:docPr descr="Figure SH.1. Channel Islands National Marine Sanctuary surrounds the terrestrial portion of Channel Islands National Park, overlaps with the marine portion of the park and California state waters, and also encompasses U.S. federal waters. Map: M. Cajandig/NOAA" title="" id="1" name="Picture"/>
            <a:graphic>
              <a:graphicData uri="http://schemas.openxmlformats.org/drawingml/2006/picture">
                <pic:pic>
                  <pic:nvPicPr>
                    <pic:cNvPr descr="./figures/p020_SH.1.png" id="0" name="Picture"/>
                    <pic:cNvPicPr>
                      <a:picLocks noChangeArrowheads="1" noChangeAspect="1"/>
                    </pic:cNvPicPr>
                  </pic:nvPicPr>
                  <pic:blipFill>
                    <a:blip r:embed="rId26"/>
                    <a:stretch>
                      <a:fillRect/>
                    </a:stretch>
                  </pic:blipFill>
                  <pic:spPr bwMode="auto">
                    <a:xfrm>
                      <a:off x="0" y="0"/>
                      <a:ext cx="4629549" cy="3555289"/>
                    </a:xfrm>
                    <a:prstGeom prst="rect">
                      <a:avLst/>
                    </a:prstGeom>
                    <a:noFill/>
                    <a:ln w="9525">
                      <a:noFill/>
                      <a:headEnd/>
                      <a:tailEnd/>
                    </a:ln>
                  </pic:spPr>
                </pic:pic>
              </a:graphicData>
            </a:graphic>
          </wp:inline>
        </w:drawing>
      </w:r>
    </w:p>
    <w:p>
      <w:pPr>
        <w:pStyle w:val="ImageCaption"/>
      </w:pPr>
      <w:r>
        <w:t xml:space="preserve">Figure SH.1. Channel Islands National Marine Sanctuary surrounds the terrestrial portion of Channel Islands National Park, overlaps with the marine portion of the park and California state waters, and also encompasses U.S. federal waters. Map: M. Cajandig/NOAA</w:t>
      </w:r>
    </w:p>
    <w:p>
      <w:pPr>
        <w:pStyle w:val="CaptionedFigure"/>
      </w:pPr>
      <w:r>
        <w:drawing>
          <wp:inline>
            <wp:extent cx="5334000" cy="4006272"/>
            <wp:effectExtent b="0" l="0" r="0" t="0"/>
            <wp:docPr descr="Figure SH.2. Looking west from east Anacapa Island, one of five islands in Channel Islands National Park that is surrounded by Channel Islands National Marine Sanctuary. Photo: C. Fackler/NOAA" title="" id="1" name="Picture"/>
            <a:graphic>
              <a:graphicData uri="http://schemas.openxmlformats.org/drawingml/2006/picture">
                <pic:pic>
                  <pic:nvPicPr>
                    <pic:cNvPr descr="./figures/p021_SH.2.png" id="0" name="Picture"/>
                    <pic:cNvPicPr>
                      <a:picLocks noChangeArrowheads="1" noChangeAspect="1"/>
                    </pic:cNvPicPr>
                  </pic:nvPicPr>
                  <pic:blipFill>
                    <a:blip r:embed="rId27"/>
                    <a:stretch>
                      <a:fillRect/>
                    </a:stretch>
                  </pic:blipFill>
                  <pic:spPr bwMode="auto">
                    <a:xfrm>
                      <a:off x="0" y="0"/>
                      <a:ext cx="5334000" cy="4006272"/>
                    </a:xfrm>
                    <a:prstGeom prst="rect">
                      <a:avLst/>
                    </a:prstGeom>
                    <a:noFill/>
                    <a:ln w="9525">
                      <a:noFill/>
                      <a:headEnd/>
                      <a:tailEnd/>
                    </a:ln>
                  </pic:spPr>
                </pic:pic>
              </a:graphicData>
            </a:graphic>
          </wp:inline>
        </w:drawing>
      </w:r>
    </w:p>
    <w:p>
      <w:pPr>
        <w:pStyle w:val="ImageCaption"/>
      </w:pPr>
      <w:r>
        <w:t xml:space="preserve">Figure SH.2. Looking west from east Anacapa Island, one of five islands in Channel Islands National Park that is surrounded by Channel Islands National Marine Sanctuary. Photo: C. Fackler/NOAA</w:t>
      </w:r>
    </w:p>
    <w:p>
      <w:pPr>
        <w:pStyle w:val="Heading2"/>
      </w:pPr>
      <w:bookmarkStart w:id="28" w:name="history"/>
      <w:r>
        <w:t xml:space="preserve">History</w:t>
      </w:r>
      <w:bookmarkEnd w:id="28"/>
    </w:p>
    <w:p>
      <w:pPr>
        <w:pStyle w:val="Heading3"/>
      </w:pPr>
      <w:bookmarkStart w:id="29" w:name="human-history-of-the-channel-islands"/>
      <w:r>
        <w:t xml:space="preserve">Human history of the Channel Islands</w:t>
      </w:r>
      <w:bookmarkEnd w:id="29"/>
    </w:p>
    <w:p>
      <w:pPr>
        <w:pStyle w:val="FirstParagraph"/>
      </w:pPr>
      <w:r>
        <w:t xml:space="preserve">The Channel Islands and the surrounding waters have a rich human history dating back more than 13,000 years. The Chumash, or island people, are indigenous to the region surrounding the Santa Barbara Channel — the body of water separating mainland California and the Channel Islands (Watts et al. 2008).</w:t>
      </w:r>
    </w:p>
    <w:p>
      <w:pPr>
        <w:pStyle w:val="BodyText"/>
      </w:pPr>
      <w:r>
        <w:t xml:space="preserve">Island Chumash were avid mariners who relied greatly on the sea for sustenance. They plied the waters of the islands, channel, and coast in tomols (i.e., redwood plank canoes) to fish and trade with mainland communities.</w:t>
      </w:r>
    </w:p>
    <w:p>
      <w:pPr>
        <w:pStyle w:val="BodyText"/>
      </w:pPr>
      <w:r>
        <w:t xml:space="preserve">The maritime society of the Chumash once thrived in villages located throughout the northern Channel Islands and mainland coast. Today, no Chumash dwellings exist on the islands, but a vibrant community remains in southern California where their seafaring traditions are kept alive. (Figure SH.3)</w:t>
      </w:r>
    </w:p>
    <w:p>
      <w:pPr>
        <w:pStyle w:val="BodyText"/>
      </w:pPr>
      <w:r>
        <w:t xml:space="preserve">In 1542, Spanish explorer Juan Rodriguez Cabrillo entered the Santa Barbara Channel and is believed to be the first European to land on the islands. Subsequent explorers included Sebastian Vizcaino, Gaspar de Portola, and English captain George Vancouver, who in 1793 assigned the present names to the islands on nautical charts.</w:t>
      </w:r>
    </w:p>
    <w:p>
      <w:pPr>
        <w:pStyle w:val="CaptionedFigure"/>
      </w:pPr>
      <w:r>
        <w:drawing>
          <wp:inline>
            <wp:extent cx="5334000" cy="3534073"/>
            <wp:effectExtent b="0" l="0" r="0" t="0"/>
            <wp:docPr descr="Figure SH.3. Modern day Chumash paddlers in a tomol continue their seafaring traditions. Photo: R. Schwemmer/NOAA" title="" id="1" name="Picture"/>
            <a:graphic>
              <a:graphicData uri="http://schemas.openxmlformats.org/drawingml/2006/picture">
                <pic:pic>
                  <pic:nvPicPr>
                    <pic:cNvPr descr="./figures/p022_SH.3.png" id="0" name="Picture"/>
                    <pic:cNvPicPr>
                      <a:picLocks noChangeArrowheads="1" noChangeAspect="1"/>
                    </pic:cNvPicPr>
                  </pic:nvPicPr>
                  <pic:blipFill>
                    <a:blip r:embed="rId30"/>
                    <a:stretch>
                      <a:fillRect/>
                    </a:stretch>
                  </pic:blipFill>
                  <pic:spPr bwMode="auto">
                    <a:xfrm>
                      <a:off x="0" y="0"/>
                      <a:ext cx="5334000" cy="3534073"/>
                    </a:xfrm>
                    <a:prstGeom prst="rect">
                      <a:avLst/>
                    </a:prstGeom>
                    <a:noFill/>
                    <a:ln w="9525">
                      <a:noFill/>
                      <a:headEnd/>
                      <a:tailEnd/>
                    </a:ln>
                  </pic:spPr>
                </pic:pic>
              </a:graphicData>
            </a:graphic>
          </wp:inline>
        </w:drawing>
      </w:r>
    </w:p>
    <w:p>
      <w:pPr>
        <w:pStyle w:val="ImageCaption"/>
      </w:pPr>
      <w:r>
        <w:t xml:space="preserve">Figure SH.3. Modern day Chumash paddlers in a tomol continue their seafaring traditions. Photo: R. Schwemmer/NOAA</w:t>
      </w:r>
    </w:p>
    <w:p>
      <w:pPr>
        <w:pStyle w:val="BodyText"/>
      </w:pPr>
      <w:r>
        <w:t xml:space="preserve">In the early 1800s, European settlers relocated the Chumash people from the islands to mainland missions. Soon after, hunters, settlers, fishermen, and ranchers — attracted by the rich natural resources — began to populate the islands.</w:t>
      </w:r>
    </w:p>
    <w:p>
      <w:pPr>
        <w:pStyle w:val="BodyText"/>
      </w:pPr>
      <w:r>
        <w:t xml:space="preserve">For the next hundred years, Russian, British, and American fur traders visited the islands and surrounding waters to hunt sea otters, and later seals and sea lions, for their prized fur and oil. Valuable fisheries for abalone and lobster thrived. Cattle and sheep ranches were established and remained active until 1998 when the last herds of cattle were removed (Livingston 2006). All of these activities were largely unregulated at the time and altered the land and ocean ecosystems.</w:t>
      </w:r>
    </w:p>
    <w:p>
      <w:pPr>
        <w:pStyle w:val="BodyText"/>
      </w:pPr>
      <w:r>
        <w:t xml:space="preserve">The federal government, and in particular the military, also saw value in the Channel Islands’ strategic location. In 1912, the U.S. Lighthouse Service (later the U.S. Coast Guard) began its stay on Anacapa Island and, in 1932, constructed the Anacapa Island Lighthouse (Figure SH.4) that exists to this day (Wheeler 2002). The U.S. Navy assumed control of San Miguel Island just before World War II and subsequently, the islands served an important role in southern California’s coastal defenses.</w:t>
      </w:r>
    </w:p>
    <w:p>
      <w:pPr>
        <w:pStyle w:val="BodyText"/>
      </w:pPr>
      <w:r>
        <w:t xml:space="preserve">The islands’ waters continue to lure people. Culture, commerce, and recreation remain important influences. Federal protections of both the land and waters now recognize the area’s past, present, and future cultural and ecological importance.</w:t>
      </w:r>
    </w:p>
    <w:p>
      <w:pPr>
        <w:pStyle w:val="Heading1"/>
      </w:pPr>
      <w:bookmarkStart w:id="31" w:name="driving-forces-and-pressures-on-the-sanctuary"/>
      <w:r>
        <w:t xml:space="preserve">Driving Forces and Pressures on the Sanctuary</w:t>
      </w:r>
      <w:bookmarkEnd w:id="31"/>
    </w:p>
    <w:p>
      <w:pPr>
        <w:pStyle w:val="FirstParagraph"/>
      </w:pPr>
      <w:r>
        <w:t xml:space="preserve">Human activities and natural processes affect the condition of both natural and archaeological resources in national marine sanctuaries. This section describes the general nature and extent of known pressures affecting resources in CINMS. Driving forces behind those pressures are also discussed and can aid in predicting the direction and extent of future pressures. While the trends in drivers and pressures support the assessment of sanctuary resource status and trends (i.e., the State section of this report), forecasts provide a forward-looking approach to address policy and management responses needed to protect and/or restore sanctuary resources (i.e., the Response section of Volume II of this report). This section also addresses five questions about the status and trends of drivers and the human activities (i.e., pressures) influencing major sanctuary resource components — water, habitat, living resources, and maritime archaeological resource quality.</w:t>
      </w:r>
    </w:p>
    <w:p>
      <w:pPr>
        <w:pStyle w:val="BodyText"/>
      </w:pPr>
      <w:r>
        <w:t xml:space="preserve">The general approach used herein is to integrate drivers with pressures in the discussions of each pressure; however, since there are several drivers that affect several different pressures, they are addressed in this introduction. Quantitative details are included in this section and are not repeated when each pressure that they affect is discussed.</w:t>
      </w:r>
    </w:p>
    <w:p>
      <w:pPr>
        <w:pStyle w:val="BodyText"/>
      </w:pPr>
      <w:r>
        <w:t xml:space="preserve">Two of the most important high-level drivers of status and trends for sanctuary pressures are changes in population growth and per capita income; both operate at multiple scales ranging from local to international and affect demand for resources (e.g., food and access), and thus, levels of activity that alter conditions (e.g., development, shipping traffic, boating, pollution, noise, etc.).</w:t>
      </w:r>
    </w:p>
    <w:p>
      <w:pPr>
        <w:pStyle w:val="BodyText"/>
      </w:pPr>
      <w:r>
        <w:t xml:space="preserve">The U.S. population increased 0.9% per year between 2000 and 2015 and is forecast to increase 1.0% per year through 2030 (Woods and Pool 2016). In 2010, 123 million people, or 39 percent of the nation’s population lived along the coast. By 2020, NOAA predicts another ten million people will move to a coastal county.</w:t>
      </w:r>
      <w:r>
        <w:t xml:space="preserve"> </w:t>
      </w:r>
      <w:r>
        <w:rPr>
          <w:b/>
        </w:rPr>
        <w:t xml:space="preserve">footnote 5</w:t>
      </w:r>
    </w:p>
    <w:p>
      <w:pPr>
        <w:pStyle w:val="BodyText"/>
      </w:pPr>
      <w:r>
        <w:t xml:space="preserve">Nearly one third of California residents (about 11 million people) now live in Los Angeles, Santa Barbara, and Ventura counties, the three counties adjacent to CINMS (U.S. Census Bureau 2016, see</w:t>
      </w:r>
      <w:r>
        <w:t xml:space="preserve"> </w:t>
      </w:r>
      <w:r>
        <w:t xml:space="preserve">Appendix C: Table App.C.1.2 and Figure App.C.1.1). Between 2000 and 2015, population in this three county area grew at an annual rate of 0.5 percent. California’s population is projected to increase slightly between 2015 and 2030 (1.1 percent), with the three county area expected to experience an average annual population growth rate of 0.7 percent (Woods and Pool 2016, see Appendix C: Table App.C.1.4).</w:t>
      </w:r>
    </w:p>
    <w:p>
      <w:pPr>
        <w:pStyle w:val="BodyText"/>
      </w:pPr>
      <w:r>
        <w:t xml:space="preserve">Meanwhile, the standard of living in the three counties has increased faster than the rest of the U.S. Between 2000 and 2015, real per capita income increased 1.3 percent in the U.S. and is forecast to increase 1.6% per year between 2015 and 2030 (Woods and Pool 2016). Between 2000 and 2015, the real per capita income increased 2.5 percent in the three counties; however, increases to real per capita income are expected to even out in the future. Specifically, projections show a 1.6 percent increase for both the U.S. and the three county area between 2015 and 2030 (Woods and Pool 2016, see Appendix C: Tables App.C.1.2, App.C.1.3, and Figure App.C.1.2).</w:t>
      </w:r>
    </w:p>
    <w:p>
      <w:pPr>
        <w:pStyle w:val="BodyText"/>
      </w:pPr>
      <w:r>
        <w:t xml:space="preserve">Another major driver of pressures on U.S. resources in general, including those along the West Coast, is Chinese per capita income. China is one of the biggest importers of fishery products from the Channel Islands’ region (NMFS 2017a). As China’s per capita income increases, this is likely to result in an increased demand for all goods, including seafood and other fishery products from CINMS. As stated above, U.S. increases were 1.3% per year between 2000 and 2015. In contrast, China’s Gross Domestic Product (GDP) per capita increased 10% per year between 2008 and 2016 and is forecast to increase 7% per year through 2020 (Trading Economics 2017, see Appendix C: Table App.C.1.5).</w:t>
      </w:r>
    </w:p>
    <w:p>
      <w:pPr>
        <w:pStyle w:val="BodyText"/>
      </w:pPr>
      <w:r>
        <w:t xml:space="preserve">A third important and more immediate driver for many ocean activities is the price of fuel. Gas prices are an input to the production of commercial fisheries, ocean recreation and offshore gas exploration. If the price increases, this makes all commercial fishing and ocean recreation activities more costly. Gas prices, for example, declined 29 percent between 2012 and 2017, affecting levels of visitation and various uses. Lower gasoline prices may result in a lowered willingness of producers to invest in exploration and drilling around the sanctuary, as the costs of research and exploration may be prohibitive when the value of gasoline is lower. At the same time, lower gas prices make it less costly to engage in ocean recreation and to visit Channel Islands.</w:t>
      </w:r>
    </w:p>
    <w:p>
      <w:pPr>
        <w:pStyle w:val="Heading2"/>
      </w:pPr>
      <w:bookmarkStart w:id="32" w:name="vessel-traffic"/>
      <w:r>
        <w:t xml:space="preserve">Vessel Traffic</w:t>
      </w:r>
      <w:bookmarkEnd w:id="32"/>
    </w:p>
    <w:p>
      <w:pPr>
        <w:pStyle w:val="FirstParagraph"/>
      </w:pPr>
      <w:r>
        <w:t xml:space="preserve">Private, commercial, and military vessels may affect the sanctuary, adjacent environment, and sanctuary users in several ways, including:</w:t>
      </w:r>
    </w:p>
    <w:p>
      <w:pPr>
        <w:pStyle w:val="Compact"/>
        <w:numPr>
          <w:numId w:val="1001"/>
          <w:ilvl w:val="0"/>
        </w:numPr>
      </w:pPr>
      <w:r>
        <w:t xml:space="preserve">Air pollution via greenhouse gas emissions</w:t>
      </w:r>
    </w:p>
    <w:p>
      <w:pPr>
        <w:pStyle w:val="Compact"/>
        <w:numPr>
          <w:numId w:val="1001"/>
          <w:ilvl w:val="0"/>
        </w:numPr>
      </w:pPr>
      <w:r>
        <w:t xml:space="preserve">Discharge of oil, sewage, non-indigenous species, and non-biodegradable materials</w:t>
      </w:r>
    </w:p>
    <w:p>
      <w:pPr>
        <w:pStyle w:val="Compact"/>
        <w:numPr>
          <w:numId w:val="1001"/>
          <w:ilvl w:val="0"/>
        </w:numPr>
      </w:pPr>
      <w:r>
        <w:t xml:space="preserve">Increased ocean noise impacting living marine resources</w:t>
      </w:r>
    </w:p>
    <w:p>
      <w:pPr>
        <w:pStyle w:val="Compact"/>
        <w:numPr>
          <w:numId w:val="1001"/>
          <w:ilvl w:val="0"/>
        </w:numPr>
      </w:pPr>
      <w:r>
        <w:t xml:space="preserve">Navigational safety concerns</w:t>
      </w:r>
    </w:p>
    <w:p>
      <w:pPr>
        <w:pStyle w:val="Compact"/>
        <w:numPr>
          <w:numId w:val="1001"/>
          <w:ilvl w:val="0"/>
        </w:numPr>
      </w:pPr>
      <w:r>
        <w:t xml:space="preserve">Anchor damage to seafloor habitats (e.g., eelgrass, corals) or maritime heritage resources (e.g.,</w:t>
      </w:r>
      <w:r>
        <w:t xml:space="preserve"> </w:t>
      </w:r>
      <w:r>
        <w:t xml:space="preserve">shipwreck sites)</w:t>
      </w:r>
    </w:p>
    <w:p>
      <w:pPr>
        <w:pStyle w:val="Compact"/>
        <w:numPr>
          <w:numId w:val="1001"/>
          <w:ilvl w:val="0"/>
        </w:numPr>
      </w:pPr>
      <w:r>
        <w:t xml:space="preserve">Ship strikes on whales, including endangered whale species</w:t>
      </w:r>
    </w:p>
    <w:p>
      <w:pPr>
        <w:pStyle w:val="Compact"/>
        <w:numPr>
          <w:numId w:val="1001"/>
          <w:ilvl w:val="0"/>
        </w:numPr>
      </w:pPr>
      <w:r>
        <w:t xml:space="preserve">Changes in sanctuary wildlife behavior</w:t>
      </w:r>
    </w:p>
    <w:p>
      <w:pPr>
        <w:pStyle w:val="Compact"/>
        <w:numPr>
          <w:numId w:val="1001"/>
          <w:ilvl w:val="0"/>
        </w:numPr>
      </w:pPr>
      <w:r>
        <w:t xml:space="preserve">Spills, debris wreckage, and habitat degradation from vessel collisions, groundings, and sinkings</w:t>
      </w:r>
    </w:p>
    <w:p>
      <w:pPr>
        <w:pStyle w:val="FirstParagraph"/>
      </w:pPr>
      <w:r>
        <w:t xml:space="preserve">The two busiest commercial shipping ports in North America – Long Beach and Los Angeles – are located just south of the sanctuary. Nearly 9,200 ships (2017 data) annually transit into and out of the ports of Los Angeles and Long Beach, with approximately 41 percent of those transits passing through sanctuary waters (MESC 2018). The ships transit through and near the sanctuary via an internationally approved traffic separation scheme within the Santa Barbara Channel (Figure DP.VT.1). Ships also transit along the south sides of the northern Channel Islands, beyond the sanctuary’s boundary.</w:t>
      </w:r>
    </w:p>
    <w:p>
      <w:pPr>
        <w:pStyle w:val="BodyText"/>
      </w:pPr>
      <w:r>
        <w:t xml:space="preserve">Regulatory and economic changes over time have affected the amount and pattern of shipping traffic passing through or around the sanctuary (Figure DP.VT.2). Ship traffic transiting south of the northern Channel Islands increased significantly starting in 2009 when new California state regulations required use of cleaner fuels by ships traversing within 24 nautical miles of the California coast. Since the southern route allowed ships to transit through waters mostly beyond the California Air Resource Board’s (CARB) aforementioned jurisdiction, it thus became a preferred route for many shipping lines that had previously passed through the sanctuary using the traffic separation scheme in the Santa Barbara Channel. Since 2015, however, federal requirements for cleaner ship fuels have also been applied to an Emissions Control Area that extends from 24 to 200 nm offshore, thus lessening the displacement effect of the 2009 CARB fuel requirements. As of the end of 2017, the amount of ships using the Santa Barbara Channel traffic separation scheme had increased to 3,737 transits, almost twice the amount of ship traffic (2,007 transits) traveling just south of the northern Channel Islands (MESC 2018).</w:t>
      </w:r>
    </w:p>
    <w:p>
      <w:pPr>
        <w:pStyle w:val="BodyText"/>
      </w:pPr>
      <w:r>
        <w:t xml:space="preserve">Smaller commercial and recreational vessels are also prevalent in the sanctuary. Harbors near the sanctuary contain thousands of recreational, commercial, and research vessels. In turn, these vessels provide year-round opportunities for diving, fishing, sailing, whale watching, and wildlife viewing (Figure DP.VT.3).</w:t>
      </w:r>
    </w:p>
    <w:p>
      <w:pPr>
        <w:pStyle w:val="BodyText"/>
      </w:pPr>
      <w:r>
        <w:t xml:space="preserve">Major driving forces of large vessel traffic are population and per capita incomes in the U.S. and China, as these are the main sources of demand for imports and exports through the Ports of Los Angeles and Long Beach. Cargo volume through the two ports increased 18% per year between 1995 and 2007, declined between 2007 and 2009 during the recession, and is forecast to increase at about 5.5% per year for the years 2010 to 2020 and 4.7% per year between 2020 and 2030 (The Tioga Group, Inc. 2009, see Appendix C: Table App.C.1.6). Pressure from both large vessel traffic and small boat use are likely to continue, given forecasted trends for the drivers.</w:t>
      </w:r>
    </w:p>
    <w:p>
      <w:pPr>
        <w:pStyle w:val="CaptionedFigure"/>
      </w:pPr>
      <w:r>
        <w:drawing>
          <wp:inline>
            <wp:extent cx="5334000" cy="4184155"/>
            <wp:effectExtent b="0" l="0" r="0" t="0"/>
            <wp:docPr descr="Figure DP.VT.1. A large container ship transits past Anacapa Island. Photo: R. Schwemmer/NOAA" title="" id="1" name="Picture"/>
            <a:graphic>
              <a:graphicData uri="http://schemas.openxmlformats.org/drawingml/2006/picture">
                <pic:pic>
                  <pic:nvPicPr>
                    <pic:cNvPr descr="./figures/p044_DP.VT.1.png" id="0" name="Picture"/>
                    <pic:cNvPicPr>
                      <a:picLocks noChangeArrowheads="1" noChangeAspect="1"/>
                    </pic:cNvPicPr>
                  </pic:nvPicPr>
                  <pic:blipFill>
                    <a:blip r:embed="rId33"/>
                    <a:stretch>
                      <a:fillRect/>
                    </a:stretch>
                  </pic:blipFill>
                  <pic:spPr bwMode="auto">
                    <a:xfrm>
                      <a:off x="0" y="0"/>
                      <a:ext cx="5334000" cy="4184155"/>
                    </a:xfrm>
                    <a:prstGeom prst="rect">
                      <a:avLst/>
                    </a:prstGeom>
                    <a:noFill/>
                    <a:ln w="9525">
                      <a:noFill/>
                      <a:headEnd/>
                      <a:tailEnd/>
                    </a:ln>
                  </pic:spPr>
                </pic:pic>
              </a:graphicData>
            </a:graphic>
          </wp:inline>
        </w:drawing>
      </w:r>
    </w:p>
    <w:p>
      <w:pPr>
        <w:pStyle w:val="ImageCaption"/>
      </w:pPr>
      <w:r>
        <w:t xml:space="preserve">Figure DP.VT.1. A large container ship transits past Anacapa Island. Photo: R. Schwemmer/NOAA</w:t>
      </w:r>
    </w:p>
    <w:p>
      <w:pPr>
        <w:pStyle w:val="CaptionedFigure"/>
      </w:pPr>
      <w:r>
        <w:drawing>
          <wp:inline>
            <wp:extent cx="5334000" cy="1436076"/>
            <wp:effectExtent b="0" l="0" r="0" t="0"/>
            <wp:docPr descr="Figure DP.VT.2. Traffic patterns of large commercial vessels (cargo and tanker vessels) in the Santa Barbara Channel region for 2008, 2010, and 2014. The number of commercial ship transits is shown, using Automatic Identification System (AIS) data transmitted from ships. Vessels transiting to and from the Ports of Los Angeles/Long Beach that pass by the northern Channel Islands use either the Santa Barbara Channel Traffic Separation Scheme around the north side of the islands, or take routes south of the islands. Data source: USCG AIS data, processed by NMFS; Figure: MSWGSS 2016" title="" id="1" name="Picture"/>
            <a:graphic>
              <a:graphicData uri="http://schemas.openxmlformats.org/drawingml/2006/picture">
                <pic:pic>
                  <pic:nvPicPr>
                    <pic:cNvPr descr="./figures/p045_DP.VT.2.png" id="0" name="Picture"/>
                    <pic:cNvPicPr>
                      <a:picLocks noChangeArrowheads="1" noChangeAspect="1"/>
                    </pic:cNvPicPr>
                  </pic:nvPicPr>
                  <pic:blipFill>
                    <a:blip r:embed="rId34"/>
                    <a:stretch>
                      <a:fillRect/>
                    </a:stretch>
                  </pic:blipFill>
                  <pic:spPr bwMode="auto">
                    <a:xfrm>
                      <a:off x="0" y="0"/>
                      <a:ext cx="5334000" cy="1436076"/>
                    </a:xfrm>
                    <a:prstGeom prst="rect">
                      <a:avLst/>
                    </a:prstGeom>
                    <a:noFill/>
                    <a:ln w="9525">
                      <a:noFill/>
                      <a:headEnd/>
                      <a:tailEnd/>
                    </a:ln>
                  </pic:spPr>
                </pic:pic>
              </a:graphicData>
            </a:graphic>
          </wp:inline>
        </w:drawing>
      </w:r>
    </w:p>
    <w:p>
      <w:pPr>
        <w:pStyle w:val="ImageCaption"/>
      </w:pPr>
      <w:r>
        <w:t xml:space="preserve">Figure DP.VT.2. Traffic patterns of large commercial vessels (cargo and tanker vessels) in the Santa Barbara Channel region for 2008, 2010, and 2014. The number of commercial ship transits is shown, using Automatic Identification System (AIS) data transmitted from ships. Vessels transiting to and from the Ports of Los Angeles/Long Beach that pass by the northern Channel Islands use either the Santa Barbara Channel Traffic Separation Scheme around the north side of the islands, or take routes south of the islands. Data source: USCG AIS data, processed by NMFS; Figure: MSWGSS 2016</w:t>
      </w:r>
    </w:p>
    <w:p>
      <w:pPr>
        <w:pStyle w:val="CaptionedFigure"/>
      </w:pPr>
      <w:r>
        <w:drawing>
          <wp:inline>
            <wp:extent cx="3491345" cy="2704833"/>
            <wp:effectExtent b="0" l="0" r="0" t="0"/>
            <wp:docPr descr="Figure DP.VT.3. Santa Barbara Harbor is one of several convenient points of departure for smaller commercial and recreational vessels visiting the sanctuary. Photo: R. Schwemmer/NOAA" title="" id="1" name="Picture"/>
            <a:graphic>
              <a:graphicData uri="http://schemas.openxmlformats.org/drawingml/2006/picture">
                <pic:pic>
                  <pic:nvPicPr>
                    <pic:cNvPr descr="./figures/p045_DP.VT.3.png" id="0" name="Picture"/>
                    <pic:cNvPicPr>
                      <a:picLocks noChangeArrowheads="1" noChangeAspect="1"/>
                    </pic:cNvPicPr>
                  </pic:nvPicPr>
                  <pic:blipFill>
                    <a:blip r:embed="rId35"/>
                    <a:stretch>
                      <a:fillRect/>
                    </a:stretch>
                  </pic:blipFill>
                  <pic:spPr bwMode="auto">
                    <a:xfrm>
                      <a:off x="0" y="0"/>
                      <a:ext cx="3491345" cy="2704833"/>
                    </a:xfrm>
                    <a:prstGeom prst="rect">
                      <a:avLst/>
                    </a:prstGeom>
                    <a:noFill/>
                    <a:ln w="9525">
                      <a:noFill/>
                      <a:headEnd/>
                      <a:tailEnd/>
                    </a:ln>
                  </pic:spPr>
                </pic:pic>
              </a:graphicData>
            </a:graphic>
          </wp:inline>
        </w:drawing>
      </w:r>
    </w:p>
    <w:p>
      <w:pPr>
        <w:pStyle w:val="ImageCaption"/>
      </w:pPr>
      <w:r>
        <w:t xml:space="preserve">Figure DP.VT.3. Santa Barbara Harbor is one of several convenient points of departure for smaller commercial and recreational vessels visiting the sanctuary. Photo: R. Schwemmer/NOAA</w:t>
      </w:r>
    </w:p>
    <w:p>
      <w:pPr>
        <w:pStyle w:val="BodyText"/>
      </w:pPr>
      <w:r>
        <w:t xml:space="preserve">Non-indigenous Species</w:t>
      </w:r>
      <w:r>
        <w:t xml:space="preserve"> </w:t>
      </w:r>
      <w:r>
        <w:t xml:space="preserve">The National Marine Sanctuaries Act, which provides for the designation and management of national marine sanctuaries, states that all national marine sanctuaries are intended to maintain</w:t>
      </w:r>
      <w:r>
        <w:t xml:space="preserve"> </w:t>
      </w:r>
      <w:r>
        <w:t xml:space="preserve">“</w:t>
      </w:r>
      <w:r>
        <w:t xml:space="preserve">the natural marine assemblages that inhabit the area.</w:t>
      </w:r>
      <w:r>
        <w:t xml:space="preserve">”</w:t>
      </w:r>
      <w:r>
        <w:t xml:space="preserve"> </w:t>
      </w:r>
      <w:r>
        <w:t xml:space="preserve">Non-indigenous species are plants and animals living outside their endemic, or native, geographical range. Some non-indigenous species may be benign; however, many become</w:t>
      </w:r>
      <w:r>
        <w:t xml:space="preserve"> </w:t>
      </w:r>
      <w:r>
        <w:t xml:space="preserve">“</w:t>
      </w:r>
      <w:r>
        <w:t xml:space="preserve">invasive</w:t>
      </w:r>
      <w:r>
        <w:t xml:space="preserve">”</w:t>
      </w:r>
      <w:r>
        <w:t xml:space="preserve"> </w:t>
      </w:r>
      <w:r>
        <w:t xml:space="preserve">species if they cause ecological or economic harm in their newly inhabited environment.</w:t>
      </w:r>
      <w:r>
        <w:t xml:space="preserve"> </w:t>
      </w:r>
      <w:r>
        <w:t xml:space="preserve">## Non-indigenous Species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e48590c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5fe36c4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Channel Islands National Marine Sanctuary - Condition Report, 2016</dc:title>
  <dc:creator/>
  <cp:keywords/>
  <dcterms:created xsi:type="dcterms:W3CDTF">2018-12-12T03:50:05Z</dcterms:created>
  <dcterms:modified xsi:type="dcterms:W3CDTF">2018-12-12T03:50:05Z</dcterms:modified>
</cp:coreProperties>
</file>