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Ledger Summary</w:t>
      </w:r>
    </w:p>
    <w:p>
      <w:pPr>
        <w:pStyle w:val="Heading1"/>
      </w:pPr>
      <w:r>
        <w:t>Services Agreement</w:t>
      </w:r>
    </w:p>
    <w:p>
      <w:r>
        <w:t>Maximum limits of liability: $5,000,000 each engagement. Partner parties may be added as additional partners by attestation.</w:t>
      </w:r>
    </w:p>
    <w:p>
      <w:pPr>
        <w:pStyle w:val="Heading1"/>
      </w:pPr>
      <w:r>
        <w:t>Conditions</w:t>
      </w:r>
    </w:p>
    <w:p>
      <w:r>
        <w:t>The company waives its right of transfer (termination) against parties named in a written contract.</w:t>
      </w:r>
    </w:p>
    <w:p>
      <w:pPr>
        <w:pStyle w:val="Heading1"/>
      </w:pPr>
      <w:r>
        <w:t>Not Covered</w:t>
      </w:r>
    </w:p>
    <w:p>
      <w:r>
        <w:t>Claims resulting from shortfalls, downtime, or professional errors are excluded. Employee injury claims are outside coverage.</w:t>
      </w:r>
    </w:p>
    <w:p>
      <w:commentRangeStart w:id="0"/>
      <w:r>
        <w:t>Fees: permit fee 250; broker fee 10% of invoice. Cancelation: 60 days written notice.</w:t>
      </w:r>
      <w:commentRangeEnd w:id="0"/>
      <w:r>
        <w:rPr>
          <w:rStyle w:val="CommentReference"/>
        </w:rPr>
        <w:commentReference w:id="0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M. Chen" w:initials="MC" w:date="2026-01-01T00:00:00Z">
    <w:p>
      <w:pPr>
        <w:pStyle w:val="CommentText"/>
      </w:pPr>
      <w:r>
        <w:rPr>
          <w:rStyle w:val="CommentReference"/>
        </w:rPr>
        <w:annotationRef/>
      </w:r>
      <w:r>
        <w:t>Cancelation period differs from program review (30 days).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Extended Support Ledger Summary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