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 Review: Consultants Service Agreement</w:t>
      </w:r>
    </w:p>
    <w:p>
      <w:pPr>
        <w:pStyle w:val="Heading1"/>
      </w:pPr>
      <w:r>
        <w:t>1. Coverage Terms</w:t>
      </w:r>
    </w:p>
    <w:p>
      <w:commentRangeStart w:id="0"/>
      <w:commentRangeStart w:id="1"/>
      <w:r>
        <w:t xml:space="preserve">The permit provides a Limit of Liability of $1,000,000 per engagement and $2,000,000 aggregate. </w:t>
      </w:r>
      <w:commentRangeEnd w:id="1"/>
      <w:r>
        <w:rPr>
          <w:rStyle w:val="CommentReference"/>
        </w:rPr>
        <w:commentReference w:id="1"/>
      </w:r>
      <w:commentRangeEnd w:id="0"/>
      <w:r>
        <w:rPr>
          <w:rStyle w:val="CommentReference"/>
        </w:rPr>
        <w:commentReference w:id="0"/>
      </w:r>
      <w:commentRangeStart w:id="2"/>
      <w:r>
        <w:t>Additional partner status is granted by blanket attestation where required by written contract.</w:t>
      </w:r>
      <w:commentRangeEnd w:id="2"/>
      <w:r>
        <w:rPr>
          <w:rStyle w:val="CommentReference"/>
        </w:rPr>
        <w:commentReference w:id="2"/>
      </w:r>
    </w:p>
    <w:p>
      <w:r>
        <w:t xml:space="preserve">A waiver of termination applies in favor of any party where required by written contract. </w:t>
      </w:r>
      <w:commentRangeStart w:id="3"/>
      <w:r>
        <w:t>Company may waive termination only with prior written consent.</w:t>
      </w:r>
      <w:commentRangeEnd w:id="3"/>
      <w:r>
        <w:rPr>
          <w:rStyle w:val="CommentReference"/>
        </w:rPr>
        <w:commentReference w:id="3"/>
      </w:r>
    </w:p>
    <w:p>
      <w:pPr>
        <w:pStyle w:val="Heading1"/>
      </w:pPr>
      <w:r>
        <w:t>2. Exclusions</w:t>
      </w:r>
    </w:p>
    <w:p>
      <w:pPr>
        <w:pStyle w:val="ListNumber"/>
      </w:pPr>
      <w:r>
        <w:t>Coverage is excluded for damage arising from professional services.</w:t>
      </w:r>
    </w:p>
    <w:p>
      <w:pPr>
        <w:pStyle w:val="ListNumber"/>
      </w:pPr>
      <w:r>
        <w:t>This permit does not apply to physical harm to employees of the partner (employer's liability carve-out).</w:t>
      </w:r>
    </w:p>
    <w:p>
      <w:pPr>
        <w:pStyle w:val="ListNumber2"/>
      </w:pPr>
      <w:r>
        <w:t>Residential new-construction is not covered above three stories.</w:t>
      </w:r>
    </w:p>
    <w:p>
      <w:commentRangeStart w:id="4"/>
      <w:r>
        <w:t xml:space="preserve">Shortfall: </w:t>
      </w:r>
      <w:commentRangeEnd w:id="4"/>
      <w:r>
        <w:rPr>
          <w:rStyle w:val="CommentReference"/>
        </w:rPr>
        <w:commentReference w:id="4"/>
      </w:r>
      <w:r>
        <w:t>excluded in all cases</w:t>
      </w:r>
    </w:p>
    <w:p>
      <w:pPr>
        <w:pStyle w:val="Heading1"/>
      </w:pPr>
      <w:r>
        <w:t>3. Fee and Rate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Rate</w:t>
            </w:r>
          </w:p>
        </w:tc>
        <w:tc>
          <w:tcPr>
            <w:tcW w:type="dxa" w:w="2880"/>
          </w:tcPr>
          <w:p>
            <w:r>
              <w:t>Minimum Invoice</w:t>
            </w:r>
          </w:p>
        </w:tc>
      </w:tr>
      <w:tr>
        <w:tc>
          <w:tcPr>
            <w:tcW w:type="dxa" w:w="2880"/>
          </w:tcPr>
          <w:p>
            <w:r>
              <w:t>Carpentry</w:t>
            </w:r>
          </w:p>
        </w:tc>
        <w:tc>
          <w:tcPr>
            <w:tcW w:type="dxa" w:w="2880"/>
          </w:tcPr>
          <w:p>
            <w:r>
              <w:t>12.50</w:t>
            </w:r>
          </w:p>
        </w:tc>
        <w:tc>
          <w:tcPr>
            <w:tcW w:type="dxa" w:w="2880"/>
          </w:tcPr>
          <w:p>
            <w:r>
              <w:t>2,500</w:t>
            </w:r>
          </w:p>
        </w:tc>
      </w:tr>
      <w:tr>
        <w:tc>
          <w:tcPr>
            <w:tcW w:type="dxa" w:w="2880"/>
          </w:tcPr>
          <w:p>
            <w:r>
              <w:t>Roofing</w:t>
            </w:r>
          </w:p>
        </w:tc>
        <w:tc>
          <w:tcPr>
            <w:tcW w:type="dxa" w:w="2880"/>
          </w:tcPr>
          <w:p>
            <w:r>
              <w:t>28.00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</w:tr>
      <w:tr>
        <w:tc>
          <w:tcPr>
            <w:tcW w:type="dxa" w:w="8640"/>
            <w:gridSpan w:val="3"/>
          </w:tcPr>
          <w:p>
            <w:r>
              <w:t>Rates subject to cost-control survey; see Fees tab.</w:t>
            </w:r>
          </w:p>
        </w:tc>
      </w:tr>
    </w:tbl>
    <w:p>
      <w:pPr>
        <w:pStyle w:val="Heading1"/>
      </w:pPr>
      <w:r>
        <w:t>4. Notes</w:t>
      </w:r>
    </w:p>
    <w:p>
      <w:r>
        <w:t>Cancellation requires 30 days notice, 10 days for non-payment. The partner may not assign the permit without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. Alvarez" w:initials="RA" w:date="2026-01-01T00:00:00Z">
    <w:p>
      <w:pPr>
        <w:pStyle w:val="CommentText"/>
      </w:pPr>
      <w:r>
        <w:rPr>
          <w:rStyle w:val="CommentReference"/>
        </w:rPr>
        <w:annotationRef/>
      </w:r>
      <w:r>
        <w:t>Confirm limit against the ledger.</w:t>
      </w:r>
    </w:p>
  </w:comment>
  <w:comment w:id="1" w:author="M. Chen" w:initials="MC" w:date="2026-01-01T00:00:00Z">
    <w:p>
      <w:pPr>
        <w:pStyle w:val="CommentText"/>
      </w:pPr>
      <w:r>
        <w:rPr>
          <w:rStyle w:val="CommentReference"/>
        </w:rPr>
        <w:annotationRef/>
      </w:r>
      <w:r>
        <w:t>Ledger was superseded; $1M is right. Updating ledger.</w:t>
      </w:r>
    </w:p>
  </w:comment>
  <w:comment w:id="2" w:author="R. Alvarez" w:initials="RA" w:date="2026-01-01T00:00:00Z">
    <w:p>
      <w:pPr>
        <w:pStyle w:val="CommentText"/>
      </w:pPr>
      <w:r>
        <w:rPr>
          <w:rStyle w:val="CommentReference"/>
        </w:rPr>
        <w:annotationRef/>
      </w:r>
      <w:r>
        <w:t>Is blanket IP ongoing-use only, or completed-use too? Company form AB 20 10 vs 20 37.</w:t>
      </w:r>
    </w:p>
  </w:comment>
  <w:comment w:id="3" w:author="Legal" w:initials="LG" w:date="2026-01-01T00:00:00Z">
    <w:p>
      <w:pPr>
        <w:pStyle w:val="CommentText"/>
      </w:pPr>
      <w:r>
        <w:rPr>
          <w:rStyle w:val="CommentReference"/>
        </w:rPr>
        <w:annotationRef/>
      </w:r>
      <w:r>
        <w:t>Consent language conflicts with section 1 (blanket waiver). Needs legal review.</w:t>
      </w:r>
    </w:p>
  </w:comment>
  <w:comment w:id="4" w:author="M. Chen" w:initials="MC" w:date="2026-01-01T00:00:00Z">
    <w:p>
      <w:pPr>
        <w:pStyle w:val="CommentText"/>
      </w:pPr>
      <w:r>
        <w:rPr>
          <w:rStyle w:val="CommentReference"/>
        </w:rPr>
        <w:annotationRef/>
      </w:r>
      <w:r>
        <w:t>Shortfall exclusion wording changed - flag for company sign-off.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footer: ref PR-2026-0142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- Company Program Review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VND Program Review - Consultants GL</dc:title>
  <dc:subject/>
  <dc:creator>Legal Review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