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3D1F14"/>
          <w:sz w:val="56"/>
          <w:szCs w:val="56"/>
        </w:rPr>
        <w:t xml:space="preserve">Cafe Performance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B3A2A"/>
          <w:sz w:val="40"/>
          <w:szCs w:val="40"/>
        </w:rPr>
        <w:t xml:space="preserve">Management Summary Report</w:t>
      </w:r>
    </w:p>
    <w:p>
      <w:pPr>
        <w:pBdr>
          <w:bottom w:val="single" w:color="6B3A2A" w:sz="8" w:space="2"/>
        </w:pBdr>
        <w:spacing w:after="600" w:before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Full Year Analysis  |  2024</w:t>
      </w:r>
    </w:p>
    <w:p>
      <w:pPr>
        <w:spacing w:after="200" w:before="400"/>
      </w:pPr>
      <w:r>
        <w:t xml:space="preserve"/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"/>
        <w:gridCol w:w="2200"/>
        <w:gridCol w:w="200"/>
        <w:gridCol w:w="2200"/>
        <w:gridCol w:w="200"/>
        <w:gridCol w:w="2114"/>
      </w:tblGrid>
      <w:tr>
        <w:tc>
          <w:tcPr>
            <w:tcW w:type="dxa" w:w="22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F9F3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A2A"/>
                <w:sz w:val="36"/>
                <w:szCs w:val="36"/>
              </w:rPr>
              <w:t xml:space="preserve">84.66K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F9F3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A2A"/>
                <w:sz w:val="36"/>
                <w:szCs w:val="36"/>
              </w:rPr>
              <w:t xml:space="preserve">30K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Total Quantity Sold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F9F3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A2A"/>
                <w:sz w:val="36"/>
                <w:szCs w:val="36"/>
              </w:rPr>
              <w:t xml:space="preserve">Sandwich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Top Item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F9F3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A2A"/>
                <w:sz w:val="36"/>
                <w:szCs w:val="36"/>
              </w:rPr>
              <w:t xml:space="preserve">Digital Wallet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Top Payment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6B3A2A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6B3A2A"/>
          <w:sz w:val="28"/>
          <w:szCs w:val="28"/>
        </w:rPr>
        <w:t xml:space="preserve">1. Item Profitability</w:t>
      </w:r>
    </w:p>
    <w:p>
      <w:pPr>
        <w:spacing w:after="2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Sandwich leads all items in total profit (19.58%), followed by Salad and Smoothie. Cookie contributes the lowest share at 4.26%, while Juice drives the highest quantity volume despite lower profit per unit.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14"/>
      </w:tblGrid>
      <w:tr>
        <w:trPr>
          <w:tblHeader/>
        </w:trPr>
        <w:tc>
          <w:tcPr>
            <w:tcW w:type="dxa" w:w="28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Qty Sold</w:t>
            </w:r>
          </w:p>
        </w:tc>
        <w:tc>
          <w:tcPr>
            <w:tcW w:type="dxa" w:w="16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Profit</w:t>
            </w:r>
          </w:p>
        </w:tc>
        <w:tc>
          <w:tcPr>
            <w:tcW w:type="dxa" w:w="16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of Total</w:t>
            </w:r>
          </w:p>
        </w:tc>
        <w:tc>
          <w:tcPr>
            <w:tcW w:type="dxa" w:w="1714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Sandwich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19.58%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14,569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17.21%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Smoothie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3,342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13,368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15.79%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12,813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15.13%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3,471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10,413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12.30%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Coffee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3,919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7,838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9.26%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5,480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6.47%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Cookie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4.26%</w:t>
            </w:r>
          </w:p>
        </w:tc>
        <w:tc>
          <w:tcPr>
            <w:tcW w:type="dxa" w:w="17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#8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6B3A2A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6B3A2A"/>
          <w:sz w:val="28"/>
          <w:szCs w:val="28"/>
        </w:rPr>
        <w:t xml:space="preserve">2. Monthly Profit Contribution</w:t>
      </w:r>
    </w:p>
    <w:p>
      <w:pPr>
        <w:spacing w:after="2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February recorded the strongest profit month at 10,409.5 (12.29% of annual total), significantly above all other months. July was the weakest month at 6,392 (7.55%). The remaining months showed relatively stable performance ranging between 7.7% and 8.3%.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57"/>
        <w:gridCol w:w="2457"/>
        <w:gridCol w:w="2000"/>
      </w:tblGrid>
      <w:tr>
        <w:trPr>
          <w:tblHeader/>
        </w:trPr>
        <w:tc>
          <w:tcPr>
            <w:tcW w:type="dxa" w:w="24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2457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Profit</w:t>
            </w:r>
          </w:p>
        </w:tc>
        <w:tc>
          <w:tcPr>
            <w:tcW w:type="dxa" w:w="2457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of Total</w:t>
            </w:r>
          </w:p>
        </w:tc>
        <w:tc>
          <w:tcPr>
            <w:tcW w:type="dxa" w:w="20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January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6,859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February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10,410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12.29%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March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6,851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6,829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6,681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Below 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June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7,036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8.31%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Above 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July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6,392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7.55%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August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6,654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September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6,651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October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6,918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8.17%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November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6,525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7.71%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Below 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December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6,860</w:t>
            </w:r>
          </w:p>
        </w:tc>
        <w:tc>
          <w:tcPr>
            <w:tcW w:type="dxa" w:w="24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6B3A2A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6B3A2A"/>
          <w:sz w:val="28"/>
          <w:szCs w:val="28"/>
        </w:rPr>
        <w:t xml:space="preserve">3. Profit by Day of Week</w:t>
      </w:r>
    </w:p>
    <w:p>
      <w:pPr>
        <w:spacing w:after="2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Monday is the top-performing day by a clear margin, contributing 18.41% of total weekly profit (15,590). Wednesday is the weakest day at 13.12% (11,109). The remaining days cluster closely between 13.4% and 13.9%.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7"/>
        <w:gridCol w:w="2857"/>
        <w:gridCol w:w="3600"/>
      </w:tblGrid>
      <w:tr>
        <w:trPr>
          <w:tblHeader/>
        </w:trPr>
        <w:tc>
          <w:tcPr>
            <w:tcW w:type="dxa" w:w="2857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2857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Profit</w:t>
            </w:r>
          </w:p>
        </w:tc>
        <w:tc>
          <w:tcPr>
            <w:tcW w:type="dxa" w:w="36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of Total</w:t>
            </w:r>
          </w:p>
        </w:tc>
      </w:tr>
      <w:tr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15,590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18.41%</w:t>
            </w:r>
          </w:p>
        </w:tc>
      </w:tr>
      <w:tr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11,817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13.96%</w:t>
            </w:r>
          </w:p>
        </w:tc>
      </w:tr>
      <w:tr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11,677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13.79%</w:t>
            </w:r>
          </w:p>
        </w:tc>
      </w:tr>
      <w:tr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11,659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13.77%</w:t>
            </w:r>
          </w:p>
        </w:tc>
      </w:tr>
      <w:tr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11,442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13.51%</w:t>
            </w:r>
          </w:p>
        </w:tc>
      </w:tr>
      <w:tr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11,373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13.43%</w:t>
            </w:r>
          </w:p>
        </w:tc>
      </w:tr>
      <w:tr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28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11,109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13.12%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6B3A2A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6B3A2A"/>
          <w:sz w:val="28"/>
          <w:szCs w:val="28"/>
        </w:rPr>
        <w:t xml:space="preserve">4. Payment Method Performance</w:t>
      </w:r>
    </w:p>
    <w:p>
      <w:pPr>
        <w:spacing w:after="2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Digital Wallet is the dominant payment method, accounting for 54.31% of all transactions. Credit Card and Cash split the remaining volume almost equally at approximately 22.85% and 22.84% respectively.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4"/>
        <w:gridCol w:w="3100"/>
        <w:gridCol w:w="3100"/>
      </w:tblGrid>
      <w:tr>
        <w:trPr>
          <w:tblHeader/>
        </w:trPr>
        <w:tc>
          <w:tcPr>
            <w:tcW w:type="dxa" w:w="3114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Method</w:t>
            </w:r>
          </w:p>
        </w:tc>
        <w:tc>
          <w:tcPr>
            <w:tcW w:type="dxa" w:w="31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Quantity</w:t>
            </w:r>
          </w:p>
        </w:tc>
        <w:tc>
          <w:tcPr>
            <w:tcW w:type="dxa" w:w="31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of Total</w:t>
            </w:r>
          </w:p>
        </w:tc>
      </w:tr>
      <w:tr>
        <w:tc>
          <w:tcPr>
            <w:tcW w:type="dxa" w:w="31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 Wallet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16,522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54.31%</w:t>
            </w:r>
          </w:p>
        </w:tc>
      </w:tr>
      <w:tr>
        <w:tc>
          <w:tcPr>
            <w:tcW w:type="dxa" w:w="31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6,855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22.85%</w:t>
            </w:r>
          </w:p>
        </w:tc>
      </w:tr>
      <w:tr>
        <w:tc>
          <w:tcPr>
            <w:tcW w:type="dxa" w:w="31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6,853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22.84%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6B3A2A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6B3A2A"/>
          <w:sz w:val="28"/>
          <w:szCs w:val="28"/>
        </w:rPr>
        <w:t xml:space="preserve">5. Sales by Location</w:t>
      </w:r>
    </w:p>
    <w:p>
      <w:pPr>
        <w:spacing w:after="20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Takeaway orders represent the majority of the cafe's business at 69.56% of total quantity sold. In-store orders account for the remaining 30.44%, indicating strong off-premise demand.</w:t>
      </w:r>
    </w:p>
    <w:tbl>
      <w:tblPr>
        <w:tblW w:type="dxa" w:w="931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4"/>
        <w:gridCol w:w="3100"/>
        <w:gridCol w:w="3100"/>
      </w:tblGrid>
      <w:tr>
        <w:trPr>
          <w:tblHeader/>
        </w:trPr>
        <w:tc>
          <w:tcPr>
            <w:tcW w:type="dxa" w:w="3114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31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Quantity</w:t>
            </w:r>
          </w:p>
        </w:tc>
        <w:tc>
          <w:tcPr>
            <w:tcW w:type="dxa" w:w="3100"/>
            <w:tcBorders>
              <w:top w:val="single" w:color="6B3A2A" w:sz="1"/>
              <w:left w:val="single" w:color="6B3A2A" w:sz="1"/>
              <w:bottom w:val="single" w:color="6B3A2A" w:sz="1"/>
              <w:right w:val="single" w:color="6B3A2A" w:sz="1"/>
            </w:tcBorders>
            <w:shd w:fill="6B3A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of Total</w:t>
            </w:r>
          </w:p>
        </w:tc>
      </w:tr>
      <w:tr>
        <w:tc>
          <w:tcPr>
            <w:tcW w:type="dxa" w:w="31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Takeaway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21,075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3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69.56%</w:t>
            </w:r>
          </w:p>
        </w:tc>
      </w:tr>
      <w:tr>
        <w:tc>
          <w:tcPr>
            <w:tcW w:type="dxa" w:w="31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In-Store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9,155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30.44%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6B3A2A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6B3A2A"/>
          <w:sz w:val="28"/>
          <w:szCs w:val="28"/>
        </w:rPr>
        <w:t xml:space="preserve">6. Key Recommendations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b/>
          <w:bCs/>
          <w:color w:val="3D1F14"/>
          <w:sz w:val="20"/>
          <w:szCs w:val="20"/>
        </w:rPr>
        <w:t xml:space="preserve">Focus on High-Margin Items: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Prioritize Sandwich and Salad in promotions and menu placement as they deliver the highest profit contribution at 19.58% and 17.21% respectively.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b/>
          <w:bCs/>
          <w:color w:val="3D1F14"/>
          <w:sz w:val="20"/>
          <w:szCs w:val="20"/>
        </w:rPr>
        <w:t xml:space="preserve">Investigate February Peak: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Understand what drove the February profit spike (10,410) to replicate those conditions — seasonal promotions, events, or pricing changes may be responsible.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b/>
          <w:bCs/>
          <w:color w:val="3D1F14"/>
          <w:sz w:val="20"/>
          <w:szCs w:val="20"/>
        </w:rPr>
        <w:t xml:space="preserve">Address July &amp; November Dip: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July and November recorded the lowest profit months. Consider targeted promotions or limited-time offers during these periods to boost sales.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b/>
          <w:bCs/>
          <w:color w:val="3D1F14"/>
          <w:sz w:val="20"/>
          <w:szCs w:val="20"/>
        </w:rPr>
        <w:t xml:space="preserve">Capitalize on Monday Traffic: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With Monday generating 18.41% of weekly profit, ensure adequate staffing and stock availability. Explore loyalty programs to sustain this trend.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b/>
          <w:bCs/>
          <w:color w:val="3D1F14"/>
          <w:sz w:val="20"/>
          <w:szCs w:val="20"/>
        </w:rPr>
        <w:t xml:space="preserve">Optimize Digital Wallet Experience: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Given that 54.31% of customers pay digitally, ensure seamless payment infrastructure and consider digital-exclusive deals to drive further adoption.</w:t>
      </w:r>
    </w:p>
    <w:p>
      <w:pPr>
        <w:pStyle w:val="ListParagraph"/>
        <w:numPr>
          <w:ilvl w:val="0"/>
          <w:numId w:val="2"/>
        </w:numPr>
        <w:spacing w:after="80" w:before="100"/>
      </w:pPr>
      <w:r>
        <w:rPr>
          <w:rFonts w:ascii="Arial" w:cs="Arial" w:eastAsia="Arial" w:hAnsi="Arial"/>
          <w:b/>
          <w:bCs/>
          <w:color w:val="3D1F14"/>
          <w:sz w:val="20"/>
          <w:szCs w:val="20"/>
        </w:rPr>
        <w:t xml:space="preserve">Expand Takeaway Offering: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Takeaway represents 69.56% of volume. Investing in packaging, faster order processing, or delivery partnerships could further grow this segment.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Prepared by Data Analytics Team  |  Based on Full-Year POS Data  |  2024</w:t>
      </w:r>
    </w:p>
    <w:sectPr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3D1F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B3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2026-04-20T20:43:04.367Z</dcterms:created>
  <dcterms:modified xsi:type="dcterms:W3CDTF">2026-04-20T20:43:04.368Z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