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Prestationsrapport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Mars 2026 — Month to Date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Rapportdatum: 28 mars 2026  |  Manaden ej avslutad</w:t>
      </w:r>
    </w:p>
    <w:p>
      <w:pPr>
        <w:pBdr>
          <w:bottom w:val="single" w:color="CCCCCC" w:sz="4" w:space="1"/>
        </w:pBdr>
        <w:spacing w:before="100" w:after="10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Nyckeltal (KPIs)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Total försäljning (MTD)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8"/>
                <w:szCs w:val="28"/>
              </w:rPr>
              <w:t xml:space="preserve">239 409 kr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Budgetuppfyllnad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8"/>
                <w:szCs w:val="28"/>
              </w:rPr>
              <w:t xml:space="preserve">146%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YoY-tillväxt (preliminär)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8"/>
                <w:szCs w:val="28"/>
              </w:rPr>
              <w:t xml:space="preserve">-178 757 kr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Snittintäkt per kund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8"/>
                <w:szCs w:val="28"/>
              </w:rPr>
              <w:t xml:space="preserve">1,95 kr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CCCCC" w:sz="4" w:space="1"/>
        </w:pBdr>
        <w:spacing w:before="100" w:after="10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Viktig information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Varning: YoY-siffran ar missvisande och maste tolkas med forsiktighet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BF360C"/>
                <w:sz w:val="20"/>
                <w:szCs w:val="20"/>
              </w:rPr>
              <w:t xml:space="preserve">De -178 757 kr speglar inte den verkliga affarsutvecklingen. Huvudorsaken ar att en ofullstandig manad (mars 2026) jamfors med en komplett manad fran foregaende ar. ID 27-31 har inte registrerat nagon forsaljning annu, vilket tillfor -43 209 kr i skenbar forlust.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Verkligheten: Prestationen ar mycket stark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Att uppna 146% av budgeten med dagar kvar i manaden innebar att slutresultatet kommer bli annu hogre. Aktiva IDs visar positiv tillvaxt jamfort med foregaende ar.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Metodkommentar for dashboarden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Rekommenderas att lagga till ett DAX-matt som jamfor samma period foregaende ar (SPLY) istallet for hela manaden, samt en automatisk notis pa YoY-kortet som visar att manaden inte ar avslutad.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CCCCC" w:sz="4" w:space="1"/>
        </w:pBdr>
        <w:spacing w:before="100" w:after="10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Forsaljningsdetaljering per ID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1900"/>
        <w:gridCol w:w="1700"/>
        <w:gridCol w:w="1560"/>
        <w:gridCol w:w="17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Dagens utfall (kr)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Foregaende ar (kr)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YoY-tillvaxt (kr)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Antal kunder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Budgetuppfyllnad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27 611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10 784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+16 827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3,05x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11 891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4 284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+7 607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2,10x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11 839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4 262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+7 577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1,70x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11 441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1 763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+9 678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3,20x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13 654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5 113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+8 541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0,90x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12 390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8 134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+4 256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8,38x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12 650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6 197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+6 453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2,95x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8 789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17 891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-9 101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1,29x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2 832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9 012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-6 179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1,16x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3 663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5 695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-2 032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1,78x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* ID 27-31 ar exkluderade fran tabellen da ingen forsaljning registrerats per rapportdatum — manaden pagaar fortfarande.</w:t>
      </w:r>
    </w:p>
    <w:p>
      <w:pPr>
        <w:spacing w:before="80" w:after="80"/>
      </w:pPr>
      <w:r>
        <w:t xml:space="preserve"/>
      </w:r>
    </w:p>
    <w:p>
      <w:pPr>
        <w:pBdr>
          <w:bottom w:val="single" w:color="CCCCCC" w:sz="4" w:space="1"/>
        </w:pBdr>
        <w:spacing w:before="100" w:after="10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Omedelbara atgarder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61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Atgard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Skicka aldrig YoY utan forklaring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Lagg alltid till en mening som forklarar att manaden inte ar avslutad, for att undvika missforstanda pa moten.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Foljd upp ID 14 omedelbart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 forlust pa -9 101 kr jamfort med foregaende ar trots 68 kunder. Ar det ett prissattnings- eller kundtjanstproblem?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Analysera modellen for ID 26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Hogst forsaljning +27 611 kr och hogst YoY-tillvaxt. Vad gor detta ID annorlunda?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Lagg till SPLY-mattet i Power BI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Jamfor samma antal dagar fran foregaende ar istallet for hela manaden, for en rattvis jamforelse.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CCCCC" w:sz="4" w:space="1"/>
        </w:pBdr>
        <w:spacing w:before="100" w:after="10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Noter:</w:t>
      </w:r>
    </w:p>
    <w:p>
      <w:pPr>
        <w:spacing w:before="60" w:after="6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Total budget: 171 955 kr  |  Faktisk forsaljning: 239 409 kr  |  Foregaende ar (hela mars 2025): 418 167 kr</w:t>
      </w:r>
    </w:p>
    <w:p>
      <w:pPr>
        <w:spacing w:before="60" w:after="6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En rattvis jamforelse mojliggors nar manaden avslutas den 31 mars 2026.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2026-03-28T07:53:55.359Z</dcterms:created>
  <dcterms:modified xsi:type="dcterms:W3CDTF">2026-03-28T07:53:55.359Z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