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(side picture)</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-128905</wp:posOffset>
            </wp:positionH>
            <wp:positionV relativeFrom="paragraph">
              <wp:posOffset>170180</wp:posOffset>
            </wp:positionV>
            <wp:extent cx="2116455" cy="278130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116455" cy="2781300"/>
                    </a:xfrm>
                    <a:prstGeom prst="rect">
                      <a:avLst/>
                    </a:prstGeom>
                  </pic:spPr>
                </pic:pic>
              </a:graphicData>
            </a:graphic>
          </wp:anchor>
        </w:drawing>
      </w:r>
    </w:p>
    <w:p>
      <w:pPr>
        <w:pStyle w:val="Normal"/>
        <w:rPr/>
      </w:pPr>
      <w:r>
        <w:rPr/>
        <w:t xml:space="preserve">We walk the slippery line between biomedicine and computer science with a </w:t>
      </w:r>
      <w:r>
        <w:rPr>
          <w:rFonts w:eastAsia="Calibri" w:cs="Arial" w:cstheme="minorBidi" w:eastAsiaTheme="minorHAnsi"/>
          <w:color w:val="auto"/>
          <w:kern w:val="0"/>
          <w:sz w:val="24"/>
          <w:szCs w:val="24"/>
          <w:lang w:val="en-AU" w:eastAsia="en-US" w:bidi="ar-SA"/>
        </w:rPr>
        <w:t>special interest</w:t>
      </w:r>
      <w:r>
        <w:rPr/>
        <w:t xml:space="preserve"> in single cell analyses.</w:t>
      </w:r>
    </w:p>
    <w:p>
      <w:pPr>
        <w:pStyle w:val="Normal"/>
        <w:rPr/>
      </w:pPr>
      <w:r>
        <w:rPr/>
      </w:r>
    </w:p>
    <w:p>
      <w:pPr>
        <w:pStyle w:val="Heading2"/>
        <w:rPr/>
      </w:pPr>
      <w:r>
        <w:rPr/>
        <w:t>Projects</w:t>
      </w:r>
    </w:p>
    <w:p>
      <w:pPr>
        <w:pStyle w:val="Heading3"/>
        <w:rPr/>
      </w:pPr>
      <w:r>
        <w:rPr/>
        <w:t>Single cell immunology of severe dengue</w:t>
      </w:r>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color w:val="auto"/>
          <w:kern w:val="0"/>
          <w:sz w:val="24"/>
          <w:szCs w:val="24"/>
          <w:lang w:val="en-AU" w:eastAsia="en-US" w:bidi="ar-SA"/>
        </w:rPr>
        <w:t>Dengue is the most widespread mosquito-transmitted viral disease with 400 million infections every year. Millions of people including children and pregnant women suffer from severe symptoms such as internal bleeding and organ failure. The pathogenesis of severe dengue is unclear. We develop new single-cell transcriptomic approaches to understand what different arms of the immune system is doing right and wrong during dengue and severe dengue.</w:t>
      </w:r>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color w:val="auto"/>
          <w:kern w:val="0"/>
          <w:sz w:val="24"/>
          <w:szCs w:val="24"/>
          <w:lang w:val="en-AU" w:eastAsia="en-US" w:bidi="ar-SA"/>
        </w:rPr>
      </w:r>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color w:val="auto"/>
          <w:kern w:val="0"/>
          <w:sz w:val="24"/>
          <w:szCs w:val="24"/>
          <w:lang w:val="en-AU" w:eastAsia="en-US" w:bidi="ar-S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265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265805"/>
                    </a:xfrm>
                    <a:prstGeom prst="rect">
                      <a:avLst/>
                    </a:prstGeom>
                  </pic:spPr>
                </pic:pic>
              </a:graphicData>
            </a:graphic>
          </wp:anchor>
        </w:drawing>
      </w:r>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color w:val="auto"/>
          <w:kern w:val="0"/>
          <w:sz w:val="24"/>
          <w:szCs w:val="24"/>
          <w:lang w:val="en-AU" w:eastAsia="en-US" w:bidi="ar-SA"/>
        </w:rPr>
      </w:r>
    </w:p>
    <w:p>
      <w:pPr>
        <w:pStyle w:val="Normal"/>
        <w:rPr>
          <w:rFonts w:ascii="Calibri" w:hAnsi="Calibri" w:eastAsia="Calibri" w:cs="Arial" w:asciiTheme="minorHAnsi" w:cstheme="minorBidi" w:eastAsiaTheme="minorHAnsi" w:hAnsiTheme="minorHAnsi"/>
          <w:b/>
          <w:b/>
          <w:bCs/>
          <w:color w:val="auto"/>
          <w:kern w:val="0"/>
          <w:sz w:val="24"/>
          <w:szCs w:val="24"/>
          <w:lang w:val="en-AU" w:eastAsia="en-US" w:bidi="ar-SA"/>
        </w:rPr>
      </w:pPr>
      <w:r>
        <w:rPr>
          <w:rFonts w:eastAsia="Calibri" w:cs="Arial" w:cstheme="minorBidi" w:eastAsiaTheme="minorHAnsi"/>
          <w:b/>
          <w:bCs/>
          <w:color w:val="auto"/>
          <w:kern w:val="0"/>
          <w:sz w:val="24"/>
          <w:szCs w:val="24"/>
          <w:lang w:val="en-AU" w:eastAsia="en-US" w:bidi="ar-SA"/>
        </w:rPr>
        <w:t>References:</w:t>
      </w:r>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hyperlink r:id="rId4">
        <w:r>
          <w:rPr>
            <w:rStyle w:val="InternetLink"/>
            <w:rFonts w:eastAsia="Calibri" w:cs="Arial" w:cstheme="minorBidi" w:eastAsiaTheme="minorHAnsi"/>
            <w:color w:val="auto"/>
            <w:kern w:val="0"/>
            <w:sz w:val="24"/>
            <w:szCs w:val="24"/>
            <w:lang w:val="en-AU" w:eastAsia="en-US" w:bidi="ar-SA"/>
          </w:rPr>
          <w:t>Zanini F, Robinson ML et al. PNAS (2018).</w:t>
        </w:r>
      </w:hyperlink>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hyperlink r:id="rId5">
        <w:r>
          <w:rPr>
            <w:rStyle w:val="InternetLink"/>
            <w:rFonts w:eastAsia="Calibri" w:cs="Arial" w:cstheme="minorBidi" w:eastAsiaTheme="minorHAnsi"/>
            <w:color w:val="auto"/>
            <w:kern w:val="0"/>
            <w:sz w:val="24"/>
            <w:szCs w:val="24"/>
            <w:lang w:val="en-AU" w:eastAsia="en-US" w:bidi="ar-SA"/>
          </w:rPr>
          <w:t>Zanini F, Pu SY et al. eLife (2018).</w:t>
        </w:r>
      </w:hyperlink>
    </w:p>
    <w:p>
      <w:pPr>
        <w:pStyle w:val="Normal"/>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color w:val="auto"/>
          <w:kern w:val="0"/>
          <w:sz w:val="24"/>
          <w:szCs w:val="24"/>
          <w:lang w:val="en-AU" w:eastAsia="en-US" w:bidi="ar-SA"/>
        </w:rPr>
      </w:r>
    </w:p>
    <w:p>
      <w:pPr>
        <w:pStyle w:val="Heading3"/>
        <w:rPr>
          <w:rFonts w:ascii="Calibri" w:hAnsi="Calibri" w:eastAsia="Calibri" w:cs="Arial" w:asciiTheme="minorHAnsi" w:cstheme="minorBidi" w:eastAsiaTheme="minorHAnsi" w:hAnsiTheme="minorHAnsi"/>
          <w:color w:val="auto"/>
          <w:kern w:val="0"/>
          <w:sz w:val="24"/>
          <w:szCs w:val="24"/>
          <w:lang w:val="en-AU" w:eastAsia="en-US" w:bidi="ar-SA"/>
        </w:rPr>
      </w:pPr>
      <w:r>
        <w:rPr>
          <w:rFonts w:eastAsia="Calibri" w:cs="Arial" w:cstheme="minorBidi" w:eastAsiaTheme="minorHAnsi" w:ascii="Calibri" w:hAnsi="Calibri"/>
          <w:color w:val="auto"/>
          <w:kern w:val="0"/>
          <w:sz w:val="24"/>
          <w:szCs w:val="24"/>
          <w:lang w:val="en-AU" w:eastAsia="en-US" w:bidi="ar-SA"/>
        </w:rPr>
        <w:t>Atlas-guided cell type classification</w:t>
      </w:r>
    </w:p>
    <w:p>
      <w:pPr>
        <w:pStyle w:val="TextBody"/>
        <w:rPr/>
      </w:pPr>
      <w:r>
        <w:rPr>
          <w:rFonts w:eastAsia="Calibri" w:cs="Arial" w:cstheme="minorBidi" w:eastAsiaTheme="minorHAnsi"/>
          <w:color w:val="auto"/>
          <w:kern w:val="0"/>
          <w:sz w:val="24"/>
          <w:szCs w:val="24"/>
          <w:lang w:val="en-AU" w:eastAsia="en-US" w:bidi="ar-SA"/>
        </w:rPr>
        <w:t>Cell atlases are huge collections of single cell transcriptomes that describe in extreme molecular detail the composition of human tissues. We pioneer new algorithm to leverage cell atlases to rapidly elucidate the composition of tumor biopsies.</w:t>
      </w:r>
    </w:p>
    <w:p>
      <w:pPr>
        <w:pStyle w:val="TextBody"/>
        <w:rPr>
          <w:rFonts w:ascii="Calibri" w:hAnsi="Calibri" w:eastAsia="Calibri" w:cs="Arial" w:asciiTheme="minorHAnsi" w:cstheme="minorBidi" w:eastAsiaTheme="minorHAnsi" w:hAnsiTheme="minorHAnsi"/>
          <w:color w:val="auto"/>
          <w:kern w:val="0"/>
          <w:sz w:val="24"/>
          <w:szCs w:val="24"/>
          <w:lang w:val="en-AU" w:eastAsia="en-US" w:bidi="ar-SA"/>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6170" cy="238950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916170" cy="2389505"/>
                    </a:xfrm>
                    <a:prstGeom prst="rect">
                      <a:avLst/>
                    </a:prstGeom>
                  </pic:spPr>
                </pic:pic>
              </a:graphicData>
            </a:graphic>
          </wp:anchor>
        </w:drawing>
      </w:r>
    </w:p>
    <w:p>
      <w:pPr>
        <w:pStyle w:val="TextBody"/>
        <w:rPr>
          <w:rFonts w:ascii="Calibri" w:hAnsi="Calibri" w:eastAsia="Calibri" w:cs="Arial" w:asciiTheme="minorHAnsi" w:cstheme="minorBidi" w:eastAsiaTheme="minorHAnsi" w:hAnsiTheme="minorHAnsi"/>
          <w:color w:val="auto"/>
          <w:kern w:val="0"/>
          <w:sz w:val="24"/>
          <w:szCs w:val="24"/>
          <w:lang w:val="en-AU" w:eastAsia="en-US" w:bidi="ar-SA"/>
        </w:rPr>
      </w:pPr>
      <w:r>
        <w:rPr/>
      </w:r>
    </w:p>
    <w:p>
      <w:pPr>
        <w:pStyle w:val="Normal"/>
        <w:rPr>
          <w:b/>
          <w:b/>
          <w:bCs/>
        </w:rPr>
      </w:pPr>
      <w:r>
        <w:rPr>
          <w:b/>
          <w:bCs/>
        </w:rPr>
        <w:t>References:</w:t>
      </w:r>
    </w:p>
    <w:p>
      <w:pPr>
        <w:pStyle w:val="Normal"/>
        <w:rPr/>
      </w:pPr>
      <w:hyperlink r:id="rId7">
        <w:r>
          <w:rPr>
            <w:rStyle w:val="InternetLink"/>
          </w:rPr>
          <w:t>Zanini F, Berghuis B et al. biorXiv (2019).</w:t>
        </w:r>
      </w:hyperlink>
    </w:p>
    <w:p>
      <w:pPr>
        <w:pStyle w:val="Normal"/>
        <w:rPr>
          <w:lang w:val="en-GB"/>
        </w:rPr>
      </w:pPr>
      <w:r>
        <w:rPr>
          <w:lang w:val="en-GB"/>
        </w:rPr>
      </w:r>
    </w:p>
    <w:p>
      <w:pPr>
        <w:pStyle w:val="Normal"/>
        <w:rPr>
          <w:lang w:val="en-GB"/>
        </w:rPr>
      </w:pPr>
      <w:r>
        <w:rPr/>
      </w:r>
    </w:p>
    <w:p>
      <w:pPr>
        <w:pStyle w:val="Heading3"/>
        <w:rPr/>
      </w:pPr>
      <w:r>
        <w:rPr>
          <w:rFonts w:eastAsia="Calibri" w:cs="Arial" w:ascii="Calibri" w:hAnsi="Calibri" w:asciiTheme="minorHAnsi" w:cstheme="minorBidi" w:eastAsiaTheme="minorHAnsi" w:hAnsiTheme="minorHAnsi"/>
          <w:color w:val="auto"/>
          <w:kern w:val="0"/>
          <w:sz w:val="24"/>
          <w:szCs w:val="24"/>
          <w:lang w:val="en-GB" w:eastAsia="en-US" w:bidi="ar-SA"/>
        </w:rPr>
        <w:t xml:space="preserve">A breath of fresh air: </w:t>
      </w:r>
      <w:r>
        <w:rPr>
          <w:rFonts w:eastAsia="Calibri" w:cs="Arial" w:ascii="Calibri" w:hAnsi="Calibri" w:asciiTheme="minorHAnsi" w:cstheme="minorBidi" w:eastAsiaTheme="minorHAnsi" w:hAnsiTheme="minorHAnsi"/>
          <w:b/>
          <w:bCs/>
          <w:color w:val="auto"/>
          <w:kern w:val="0"/>
          <w:sz w:val="24"/>
          <w:szCs w:val="24"/>
          <w:lang w:val="en-GB" w:eastAsia="en-US" w:bidi="ar-SA"/>
        </w:rPr>
        <w:t>shock and complexity in</w:t>
      </w:r>
      <w:r>
        <w:rPr>
          <w:rFonts w:eastAsia="Calibri" w:cs="Arial" w:ascii="Calibri" w:hAnsi="Calibri" w:asciiTheme="minorHAnsi" w:cstheme="minorBidi" w:eastAsiaTheme="minorHAnsi" w:hAnsiTheme="minorHAnsi"/>
          <w:color w:val="auto"/>
          <w:kern w:val="0"/>
          <w:sz w:val="24"/>
          <w:szCs w:val="24"/>
          <w:lang w:val="en-GB" w:eastAsia="en-US" w:bidi="ar-SA"/>
        </w:rPr>
        <w:t xml:space="preserve"> the lung at birth</w:t>
      </w:r>
    </w:p>
    <w:p>
      <w:pPr>
        <w:pStyle w:val="TextBody"/>
        <w:spacing w:before="0" w:after="140"/>
        <w:rPr/>
      </w:pPr>
      <w:r>
        <w:rPr>
          <w:rFonts w:eastAsia="Calibri" w:cs="Arial" w:cstheme="minorBidi" w:eastAsiaTheme="minorHAnsi"/>
          <w:color w:val="auto"/>
          <w:kern w:val="0"/>
          <w:sz w:val="24"/>
          <w:szCs w:val="24"/>
          <w:lang w:val="en-GB" w:eastAsia="en-US" w:bidi="ar-SA"/>
        </w:rPr>
        <w:t>TBA.</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AU"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d41037"/>
    <w:rPr>
      <w:color w:val="0000FF"/>
      <w:u w:val="single"/>
    </w:rPr>
  </w:style>
  <w:style w:type="character" w:styleId="UnresolvedMention">
    <w:name w:val="Unresolved Mention"/>
    <w:basedOn w:val="DefaultParagraphFont"/>
    <w:uiPriority w:val="99"/>
    <w:semiHidden/>
    <w:unhideWhenUsed/>
    <w:qFormat/>
    <w:rsid w:val="00d4103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www.pnas.org/content/115/52/E12363" TargetMode="External"/><Relationship Id="rId5" Type="http://schemas.openxmlformats.org/officeDocument/2006/relationships/hyperlink" Target="https://elifesciences.org/articles/32942" TargetMode="External"/><Relationship Id="rId6" Type="http://schemas.openxmlformats.org/officeDocument/2006/relationships/image" Target="media/image3.png"/><Relationship Id="rId7" Type="http://schemas.openxmlformats.org/officeDocument/2006/relationships/hyperlink" Target="https://www.biorxiv.org/content/10.1101/820928v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LibreOffice/6.3.2.2$Linux_X86_64 LibreOffice_project/30$Build-2</Application>
  <Pages>3</Pages>
  <Words>172</Words>
  <Characters>956</Characters>
  <CharactersWithSpaces>1114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2019-10-28T04:39:00Z</dcterms:created>
  <dc:creator>Omid Faridani</dc:creator>
  <dc:description/>
  <dc:language>en-US</dc:language>
  <cp:lastModifiedBy/>
  <dcterms:modified xsi:type="dcterms:W3CDTF">2019-11-08T16:12:33Z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