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400"/>
        <w:jc w:val="center"/>
      </w:pPr>
      <w:r>
        <w:rPr>
          <w:rFonts w:ascii="Times New Roman" w:cs="Times New Roman" w:eastAsia="Times New Roman" w:hAnsi="Times New Roman"/>
          <w:color w:val="6B6361"/>
          <w:sz w:val="28"/>
          <w:szCs w:val="28"/>
        </w:rPr>
        <w:t xml:space="preserve">UX/UI КОНСУЛЬТАЦИЯ</w:t>
      </w:r>
    </w:p>
    <w:p>
      <w:pPr>
        <w:spacing w:after="200"/>
        <w:jc w:val="center"/>
      </w:pPr>
      <w:r>
        <w:rPr>
          <w:rFonts w:ascii="Times New Roman" w:cs="Times New Roman" w:eastAsia="Times New Roman" w:hAnsi="Times New Roman"/>
          <w:b/>
          <w:bCs/>
          <w:color w:val="26211F"/>
          <w:sz w:val="48"/>
          <w:szCs w:val="48"/>
        </w:rPr>
        <w:t xml:space="preserve">Масштабирование конверсионного элемента</w:t>
      </w:r>
    </w:p>
    <w:p>
      <w:pPr>
        <w:spacing w:after="600"/>
        <w:jc w:val="center"/>
      </w:pPr>
      <w:r>
        <w:rPr>
          <w:rFonts w:ascii="Times New Roman" w:cs="Times New Roman" w:eastAsia="Times New Roman" w:hAnsi="Times New Roman"/>
          <w:color w:val="C19A6B"/>
          <w:sz w:val="36"/>
          <w:szCs w:val="36"/>
        </w:rPr>
        <w:t xml:space="preserve">«Скачать опросный лист»</w:t>
      </w:r>
    </w:p>
    <w:p>
      <w:pPr>
        <w:spacing w:before="1000"/>
      </w:pPr>
    </w:p>
    <w:p>
      <w:pPr>
        <w:jc w:val="center"/>
      </w:pPr>
      <w:r>
        <w:rPr>
          <w:rFonts w:ascii="Times New Roman" w:cs="Times New Roman" w:eastAsia="Times New Roman" w:hAnsi="Times New Roman"/>
          <w:color w:val="3D3735"/>
          <w:sz w:val="24"/>
          <w:szCs w:val="24"/>
        </w:rPr>
        <w:t xml:space="preserve">Сайт: всетрансформаторы.рф</w:t>
      </w:r>
    </w:p>
    <w:p>
      <w:pPr>
        <w:jc w:val="center"/>
      </w:pPr>
      <w:r>
        <w:rPr>
          <w:rFonts w:ascii="Times New Roman" w:cs="Times New Roman" w:eastAsia="Times New Roman" w:hAnsi="Times New Roman"/>
          <w:color w:val="3D3735"/>
          <w:sz w:val="24"/>
          <w:szCs w:val="24"/>
        </w:rPr>
        <w:t xml:space="preserve">Компания: ООО «УралЭнерго»</w:t>
      </w:r>
    </w:p>
    <w:p>
      <w:pPr>
        <w:spacing w:before="2000"/>
      </w:pPr>
    </w:p>
    <w:p>
      <w:pPr>
        <w:jc w:val="center"/>
      </w:pPr>
      <w:r>
        <w:rPr>
          <w:rFonts w:ascii="Times New Roman" w:cs="Times New Roman" w:eastAsia="Times New Roman" w:hAnsi="Times New Roman"/>
          <w:color w:val="6B6361"/>
          <w:sz w:val="22"/>
          <w:szCs w:val="22"/>
        </w:rPr>
        <w:t xml:space="preserve">Подготовлено: Senior UX/UI-дизайнер</w:t>
      </w:r>
    </w:p>
    <w:p>
      <w:pPr>
        <w:jc w:val="center"/>
      </w:pPr>
      <w:r>
        <w:rPr>
          <w:rFonts w:ascii="Times New Roman" w:cs="Times New Roman" w:eastAsia="Times New Roman" w:hAnsi="Times New Roman"/>
          <w:color w:val="6B6361"/>
          <w:sz w:val="22"/>
          <w:szCs w:val="22"/>
        </w:rPr>
        <w:t xml:space="preserve">B2B-маркетолог (промышленное оборудование)</w:t>
      </w:r>
    </w:p>
    <w:p>
      <w:r>
        <w:br w:type="page"/>
      </w:r>
    </w:p>
    <w:p>
      <w:pPr>
        <w:sectPr>
          <w:pgSz w:w="11906" w:h="16838" w:orient="portrait"/>
          <w:pgMar w:top="0" w:right="0" w:bottom="0" w:left="0" w:header="708" w:footer="708" w:gutter="0"/>
          <w:pgNumType/>
          <w:docGrid w:linePitch="360"/>
        </w:sectPr>
      </w:pPr>
    </w:p>
    <w:p>
      <w:pPr>
        <w:pStyle w:val="Heading1"/>
      </w:pPr>
      <w:r>
        <w:t xml:space="preserve">1. Анализ текущей ситуации</w:t>
      </w:r>
    </w:p>
    <w:p>
      <w:pPr>
        <w:spacing w:after="200" w:before="200"/>
      </w:pPr>
      <w:r>
        <w:rPr>
          <w:rFonts w:ascii="Times New Roman" w:cs="Times New Roman" w:eastAsia="Times New Roman" w:hAnsi="Times New Roman"/>
          <w:color w:val="3D3735"/>
          <w:sz w:val="24"/>
          <w:szCs w:val="24"/>
        </w:rPr>
        <w:t xml:space="preserve">Проведённый анализ сайта всетрансформаторы.рф выявил следующую структуру присутствия конверсионного элемента «Скачать опросный лист». На данный момент блок загрузки опросного листа в формате Excel (.xls) размещён исключительно в одном разделе сайта — «Каталог → Подстанции КТП 2КТП КТПН». Данный блок представляет собой статичную панель с заголовком, поясняющим текстом, иконкой Excel и яркой жёлтой кнопкой призыва к действию.</w:t>
      </w:r>
    </w:p>
    <w:p>
      <w:pPr>
        <w:spacing w:after="200"/>
      </w:pPr>
      <w:r>
        <w:rPr>
          <w:rFonts w:ascii="Times New Roman" w:cs="Times New Roman" w:eastAsia="Times New Roman" w:hAnsi="Times New Roman"/>
          <w:color w:val="3D3735"/>
          <w:sz w:val="24"/>
          <w:szCs w:val="24"/>
        </w:rPr>
        <w:t xml:space="preserve">Структура каталога сайта включает три основных направления продукции: комплектные трансформаторные подстанции (КТП, 2КТП, КТПН), масляные трансформаторы различных серий (ТМГ) и сухие трансформаторы. При этом опросный лист доступен для скачивания только посетителям раздела подстанций, что существенно ограничивает охват потенциальных лидов из других категорий продукции.</w:t>
      </w:r>
    </w:p>
    <w:p>
      <w:pPr>
        <w:spacing w:after="200"/>
      </w:pPr>
      <w:r>
        <w:rPr>
          <w:rFonts w:ascii="Times New Roman" w:cs="Times New Roman" w:eastAsia="Times New Roman" w:hAnsi="Times New Roman"/>
          <w:color w:val="3D3735"/>
          <w:sz w:val="24"/>
          <w:szCs w:val="24"/>
        </w:rPr>
        <w:t xml:space="preserve">Бизнес-задача заказчика заключается в увеличении количества генерируемых лидов через механизм скачивания опросных листов. Для достижения этой цели необходимо определить оптимальные места размещения кнопки/блока скачивания на различных страницах сайта, а также разработать адаптированные варианты дизайна для страниц с ограниченным пространством.</w:t>
      </w:r>
    </w:p>
    <w:p>
      <w:pPr>
        <w:pStyle w:val="Heading1"/>
      </w:pPr>
      <w:r>
        <w:t xml:space="preserve">2. Глобальная навигация: сквозные элементы</w:t>
      </w:r>
    </w:p>
    <w:p>
      <w:pPr>
        <w:pStyle w:val="Heading2"/>
      </w:pPr>
      <w:r>
        <w:t xml:space="preserve">2.1. Шапка сайта (Header)</w:t>
      </w:r>
    </w:p>
    <w:p>
      <w:pPr>
        <w:spacing w:after="150"/>
      </w:pPr>
      <w:r>
        <w:rPr>
          <w:rFonts w:ascii="Times New Roman" w:cs="Times New Roman" w:eastAsia="Times New Roman" w:hAnsi="Times New Roman"/>
          <w:b/>
          <w:bCs/>
          <w:color w:val="C19A6B"/>
          <w:sz w:val="24"/>
          <w:szCs w:val="24"/>
        </w:rPr>
        <w:t xml:space="preserve">Рекомендация: НЕ размещать кнопку скачивания в основной шапке сайта.</w:t>
      </w:r>
    </w:p>
    <w:p>
      <w:pPr>
        <w:spacing w:after="200"/>
      </w:pPr>
      <w:r>
        <w:rPr>
          <w:rFonts w:ascii="Times New Roman" w:cs="Times New Roman" w:eastAsia="Times New Roman" w:hAnsi="Times New Roman"/>
          <w:color w:val="3D3735"/>
          <w:sz w:val="24"/>
          <w:szCs w:val="24"/>
        </w:rPr>
        <w:t xml:space="preserve">Обоснование данного решения базируется на анализе текущего состояния шапки сайта. При посещении ресурса пользователь видит шапку, которая уже содержит несколько функциональных элементов: логотип компании, навигационное меню с выпадающими списками, контактные телефоны и кнопки связи. Добавление ещё одного визуально активного элемента в виде жёлтой кнопки приведёт к перегрузке верхней части страницы и снижению конверсии.</w:t>
      </w:r>
    </w:p>
    <w:p>
      <w:pPr>
        <w:spacing w:after="200"/>
      </w:pPr>
      <w:r>
        <w:rPr>
          <w:rFonts w:ascii="Times New Roman" w:cs="Times New Roman" w:eastAsia="Times New Roman" w:hAnsi="Times New Roman"/>
          <w:color w:val="3D3735"/>
          <w:sz w:val="24"/>
          <w:szCs w:val="24"/>
        </w:rPr>
        <w:t xml:space="preserve">В B2B-сегменте промышленного оборудования пользователи приходят на сайт с конкретной целью — найти нужное оборудование или получить техническую информацию. Шапка сайта должна помогать навигации, а не отвлекать множественными призывами к действию. Конкуренция за внимание пользователя между кнопками «Заказать звонок», «Написать» и потенциальной кнопкой «Скачать опросный лист» приведёт к снижению эффективности всех этих элементов.</w:t>
      </w:r>
    </w:p>
    <w:p>
      <w:pPr>
        <w:pStyle w:val="Heading2"/>
      </w:pPr>
      <w:r>
        <w:t xml:space="preserve">2.2. Главное меню</w:t>
      </w:r>
    </w:p>
    <w:p>
      <w:pPr>
        <w:spacing w:after="150"/>
      </w:pPr>
      <w:r>
        <w:rPr>
          <w:rFonts w:ascii="Times New Roman" w:cs="Times New Roman" w:eastAsia="Times New Roman" w:hAnsi="Times New Roman"/>
          <w:b/>
          <w:bCs/>
          <w:color w:val="C19A6B"/>
          <w:sz w:val="24"/>
          <w:szCs w:val="24"/>
        </w:rPr>
        <w:t xml:space="preserve">Рекомендация: Добавить пункт «Опросные листы» в главное меню.</w:t>
      </w:r>
    </w:p>
    <w:p>
      <w:pPr>
        <w:spacing w:after="200"/>
      </w:pPr>
      <w:r>
        <w:rPr>
          <w:rFonts w:ascii="Times New Roman" w:cs="Times New Roman" w:eastAsia="Times New Roman" w:hAnsi="Times New Roman"/>
          <w:color w:val="3D3735"/>
          <w:sz w:val="24"/>
          <w:szCs w:val="24"/>
        </w:rPr>
        <w:t xml:space="preserve">Данный подход является оптимальным решением для обеспечения сквозного доступа к опросным листам. Пункт меню «Опросные листы» может вести на специальную страницу-хаб, где собраны все доступные опросные листы для различных категорий продукции: для подстанций КТП, для масляных трансформаторов, для сухих трансформаторов, для нестандартных решений. Это позволит пользователям быстро найти нужный документ независимо от того, на какой странице сайта они находятся.</w:t>
      </w:r>
    </w:p>
    <w:p>
      <w:pPr>
        <w:spacing w:after="200"/>
      </w:pPr>
      <w:r>
        <w:rPr>
          <w:rFonts w:ascii="Times New Roman" w:cs="Times New Roman" w:eastAsia="Times New Roman" w:hAnsi="Times New Roman"/>
          <w:color w:val="3D3735"/>
          <w:sz w:val="24"/>
          <w:szCs w:val="24"/>
        </w:rPr>
        <w:t xml:space="preserve">Реализация в CMS3: В настройках главного меню добавить новый пункт с текстом «Опросные листы» и ссылкой на целевую страницу. Важно разместить этот пункт после раздела «Каталог», но перед разделом «Оплата и доставка», чтобы сохранить логику навигации.</w:t>
      </w:r>
    </w:p>
    <w:p>
      <w:pPr>
        <w:pStyle w:val="Heading2"/>
      </w:pPr>
      <w:r>
        <w:t xml:space="preserve">2.3. Подвал сайта (Footer)</w:t>
      </w:r>
    </w:p>
    <w:p>
      <w:pPr>
        <w:spacing w:after="150"/>
      </w:pPr>
      <w:r>
        <w:rPr>
          <w:rFonts w:ascii="Times New Roman" w:cs="Times New Roman" w:eastAsia="Times New Roman" w:hAnsi="Times New Roman"/>
          <w:b/>
          <w:bCs/>
          <w:color w:val="C19A6B"/>
          <w:sz w:val="24"/>
          <w:szCs w:val="24"/>
        </w:rPr>
        <w:t xml:space="preserve">Рекомендация: Обязательно разместить ссылку в подвале сайта.</w:t>
      </w:r>
    </w:p>
    <w:p>
      <w:pPr>
        <w:spacing w:after="200"/>
      </w:pPr>
      <w:r>
        <w:rPr>
          <w:rFonts w:ascii="Times New Roman" w:cs="Times New Roman" w:eastAsia="Times New Roman" w:hAnsi="Times New Roman"/>
          <w:color w:val="3D3735"/>
          <w:sz w:val="24"/>
          <w:szCs w:val="24"/>
        </w:rPr>
        <w:t xml:space="preserve">Подвал сайта является стратегически важным местом для размещения ссылки на опросные листы по нескольким причинам. Во-первых, пользователи, которые прокрутили страницу до конца, с высокой вероятностью не нашли нужную информацию и готовы к альтернативным действиям. Во-вторых, подвал традиционно воспринимается как зона с вспомогательной навигацией и документацией. В-третьих, размещение в подвале не конкурирует с основными конверсионными элементами на странице.</w:t>
      </w:r>
    </w:p>
    <w:p>
      <w:pPr>
        <w:spacing w:after="200"/>
      </w:pPr>
      <w:r>
        <w:rPr>
          <w:rFonts w:ascii="Times New Roman" w:cs="Times New Roman" w:eastAsia="Times New Roman" w:hAnsi="Times New Roman"/>
          <w:color w:val="3D3735"/>
          <w:sz w:val="24"/>
          <w:szCs w:val="24"/>
        </w:rPr>
        <w:t xml:space="preserve">Рекомендуемый формат размещения: текстовая ссылка «Опросные листы для заказа» в блоке «Документы» или «Полезное» подвала. Также можно добавить небольшую иконку документа перед текстом ссылки для визуального выделения. В CMS3 данная реализация доступна через редактирование блока подвала в настройках дизайна.</w:t>
      </w:r>
    </w:p>
    <w:p>
      <w:pPr>
        <w:pStyle w:val="Heading1"/>
      </w:pPr>
      <w:r>
        <w:t xml:space="preserve">3. Страницы категорий и карточки товаров</w:t>
      </w:r>
    </w:p>
    <w:p>
      <w:pPr>
        <w:pStyle w:val="Heading2"/>
      </w:pPr>
      <w:r>
        <w:t xml:space="preserve">3.1. Раздел «Трансформаторы масляные»</w:t>
      </w:r>
    </w:p>
    <w:p>
      <w:pPr>
        <w:spacing w:after="150"/>
      </w:pPr>
      <w:r>
        <w:rPr>
          <w:rFonts w:ascii="Times New Roman" w:cs="Times New Roman" w:eastAsia="Times New Roman" w:hAnsi="Times New Roman"/>
          <w:b/>
          <w:bCs/>
          <w:color w:val="C19A6B"/>
          <w:sz w:val="24"/>
          <w:szCs w:val="24"/>
        </w:rPr>
        <w:t xml:space="preserve">Рекомендация: Разместить компактный блок скачивания.</w:t>
      </w:r>
    </w:p>
    <w:p>
      <w:pPr>
        <w:spacing w:after="200"/>
      </w:pPr>
      <w:r>
        <w:rPr>
          <w:rFonts w:ascii="Times New Roman" w:cs="Times New Roman" w:eastAsia="Times New Roman" w:hAnsi="Times New Roman"/>
          <w:color w:val="3D3735"/>
          <w:sz w:val="24"/>
          <w:szCs w:val="24"/>
        </w:rPr>
        <w:t xml:space="preserve">Раздел масляных трансформаторов включает несколько подкатегорий продукции: трансформаторы ТМГ различных мощностей (от 16 кВА до 1000 кВА). Для каждой подкатегории рекомендуется размещение индивидуализированного блока скачивания опросного листа, адаптированного под специфику конкретного типа оборудования.</w:t>
      </w:r>
    </w:p>
    <w:p>
      <w:pPr>
        <w:spacing w:after="150"/>
      </w:pPr>
      <w:r>
        <w:rPr>
          <w:rFonts w:ascii="Times New Roman" w:cs="Times New Roman" w:eastAsia="Times New Roman" w:hAnsi="Times New Roman"/>
          <w:b/>
          <w:bCs/>
          <w:color w:val="6B6361"/>
          <w:sz w:val="24"/>
          <w:szCs w:val="24"/>
        </w:rPr>
        <w:t xml:space="preserve">Расположение блока:</w:t>
      </w:r>
    </w:p>
    <w:p>
      <w:pPr>
        <w:pStyle w:val="ListParagraph"/>
        <w:numPr>
          <w:ilvl w:val="0"/>
          <w:numId w:val="2"/>
        </w:numPr>
      </w:pPr>
      <w:r>
        <w:rPr>
          <w:rFonts w:ascii="Times New Roman" w:cs="Times New Roman" w:eastAsia="Times New Roman" w:hAnsi="Times New Roman"/>
          <w:color w:val="3D3735"/>
          <w:sz w:val="24"/>
          <w:szCs w:val="24"/>
        </w:rPr>
        <w:t xml:space="preserve">В правой боковой колонке (если доступна в шаблоне)</w:t>
      </w:r>
    </w:p>
    <w:p>
      <w:pPr>
        <w:pStyle w:val="ListParagraph"/>
        <w:numPr>
          <w:ilvl w:val="0"/>
          <w:numId w:val="2"/>
        </w:numPr>
      </w:pPr>
      <w:r>
        <w:rPr>
          <w:rFonts w:ascii="Times New Roman" w:cs="Times New Roman" w:eastAsia="Times New Roman" w:hAnsi="Times New Roman"/>
          <w:color w:val="3D3735"/>
          <w:sz w:val="24"/>
          <w:szCs w:val="24"/>
        </w:rPr>
        <w:t xml:space="preserve">После описания категории, перед списком товаров</w:t>
      </w:r>
    </w:p>
    <w:p>
      <w:pPr>
        <w:pStyle w:val="ListParagraph"/>
        <w:numPr>
          <w:ilvl w:val="0"/>
          <w:numId w:val="2"/>
        </w:numPr>
      </w:pPr>
      <w:r>
        <w:rPr>
          <w:rFonts w:ascii="Times New Roman" w:cs="Times New Roman" w:eastAsia="Times New Roman" w:hAnsi="Times New Roman"/>
          <w:color w:val="3D3735"/>
          <w:sz w:val="24"/>
          <w:szCs w:val="24"/>
        </w:rPr>
        <w:t xml:space="preserve">Внизу страницы как отдельный информационный блок</w:t>
      </w:r>
    </w:p>
    <w:p>
      <w:pPr>
        <w:spacing w:after="200" w:before="200"/>
      </w:pPr>
      <w:r>
        <w:rPr>
          <w:rFonts w:ascii="Times New Roman" w:cs="Times New Roman" w:eastAsia="Times New Roman" w:hAnsi="Times New Roman"/>
          <w:color w:val="3D3735"/>
          <w:sz w:val="24"/>
          <w:szCs w:val="24"/>
        </w:rPr>
        <w:t xml:space="preserve">Дизайн блока должен отличаться от большого блока в разделе КТП. Рекомендуется использовать компактный вариант: заголовок «Скачать опросный лист», краткое описание в одну строку и кнопка. Ширина блока не должна превышать 300-400 пикселей для размещения в боковой колонке.</w:t>
      </w:r>
    </w:p>
    <w:p>
      <w:pPr>
        <w:pStyle w:val="Heading2"/>
      </w:pPr>
      <w:r>
        <w:t xml:space="preserve">3.2. Раздел «Трансформаторы сухие»</w:t>
      </w:r>
    </w:p>
    <w:p>
      <w:pPr>
        <w:spacing w:after="150"/>
      </w:pPr>
      <w:r>
        <w:rPr>
          <w:rFonts w:ascii="Times New Roman" w:cs="Times New Roman" w:eastAsia="Times New Roman" w:hAnsi="Times New Roman"/>
          <w:b/>
          <w:bCs/>
          <w:color w:val="C19A6B"/>
          <w:sz w:val="24"/>
          <w:szCs w:val="24"/>
        </w:rPr>
        <w:t xml:space="preserve">Рекомендация: Аналогичное размещение компактного блока.</w:t>
      </w:r>
    </w:p>
    <w:p>
      <w:pPr>
        <w:spacing w:after="200"/>
      </w:pPr>
      <w:r>
        <w:rPr>
          <w:rFonts w:ascii="Times New Roman" w:cs="Times New Roman" w:eastAsia="Times New Roman" w:hAnsi="Times New Roman"/>
          <w:color w:val="3D3735"/>
          <w:sz w:val="24"/>
          <w:szCs w:val="24"/>
        </w:rPr>
        <w:t xml:space="preserve">Для раздела сухих трансформаторов применяется аналогичная стратегия размещения. Важно обеспечить визуальную и функциональную консистентность: блок скачивания должен выглядеть одинаково на всех страницах категорий трансформаторов, отличаться может только текст описания и непосредственно файл опросного листа.</w:t>
      </w:r>
    </w:p>
    <w:p>
      <w:pPr>
        <w:pStyle w:val="Heading2"/>
      </w:pPr>
      <w:r>
        <w:t xml:space="preserve">3.3. Карточки конкретных товаров</w:t>
      </w:r>
    </w:p>
    <w:p>
      <w:pPr>
        <w:spacing w:after="150"/>
      </w:pPr>
      <w:r>
        <w:rPr>
          <w:rFonts w:ascii="Times New Roman" w:cs="Times New Roman" w:eastAsia="Times New Roman" w:hAnsi="Times New Roman"/>
          <w:b/>
          <w:bCs/>
          <w:color w:val="C19A6B"/>
          <w:sz w:val="24"/>
          <w:szCs w:val="24"/>
        </w:rPr>
        <w:t xml:space="preserve">Рекомендация: Разместить кнопку в зоне контактов.</w:t>
      </w:r>
    </w:p>
    <w:p>
      <w:pPr>
        <w:spacing w:after="200"/>
      </w:pPr>
      <w:r>
        <w:rPr>
          <w:rFonts w:ascii="Times New Roman" w:cs="Times New Roman" w:eastAsia="Times New Roman" w:hAnsi="Times New Roman"/>
          <w:color w:val="3D3735"/>
          <w:sz w:val="24"/>
          <w:szCs w:val="24"/>
        </w:rPr>
        <w:t xml:space="preserve">В карточках конкретных товаров (например, «ТМГ 1000/10/0,4») рекомендуется размещение компактной кнопки «Скачать опросный лист» рядом с контактными телефонами или формой обратной связи. Это логичное место, поскольку пользователь, заинтересованный в конкретном товаре, вероятно готов перейти к следующему шагу взаимодействия с компанией.</w:t>
      </w:r>
    </w:p>
    <w:p>
      <w:pPr>
        <w:spacing w:after="200"/>
      </w:pPr>
      <w:r>
        <w:rPr>
          <w:rFonts w:ascii="Times New Roman" w:cs="Times New Roman" w:eastAsia="Times New Roman" w:hAnsi="Times New Roman"/>
          <w:color w:val="3D3735"/>
          <w:sz w:val="24"/>
          <w:szCs w:val="24"/>
        </w:rPr>
        <w:t xml:space="preserve">Формат размещения: текстовая ссылка или небольшая кнопка шириной не более 200 пикселей. Кнопка должна быть стилистически согласована с другими элементами карточки товара, но при этом достаточно заметна. Рекомендуется использовать тот же жёлтый цвет, что и в основном блоке КТП, для сохранения визуальной целостности.</w:t>
      </w:r>
    </w:p>
    <w:p>
      <w:pPr>
        <w:pStyle w:val="Heading1"/>
      </w:pPr>
      <w:r>
        <w:t xml:space="preserve">4. Другие страницы сайта</w:t>
      </w:r>
    </w:p>
    <w:p>
      <w:pPr>
        <w:pStyle w:val="Heading2"/>
      </w:pPr>
      <w:r>
        <w:t xml:space="preserve">4.1. Главная страница</w:t>
      </w:r>
    </w:p>
    <w:p>
      <w:pPr>
        <w:spacing w:after="150"/>
      </w:pPr>
      <w:r>
        <w:rPr>
          <w:rFonts w:ascii="Times New Roman" w:cs="Times New Roman" w:eastAsia="Times New Roman" w:hAnsi="Times New Roman"/>
          <w:b/>
          <w:bCs/>
          <w:color w:val="C19A6B"/>
          <w:sz w:val="24"/>
          <w:szCs w:val="24"/>
        </w:rPr>
        <w:t xml:space="preserve">Рекомендация: Разместить блок в разделе преимуществ или отдельным блоком.</w:t>
      </w:r>
    </w:p>
    <w:p>
      <w:pPr>
        <w:spacing w:after="200"/>
      </w:pPr>
      <w:r>
        <w:rPr>
          <w:rFonts w:ascii="Times New Roman" w:cs="Times New Roman" w:eastAsia="Times New Roman" w:hAnsi="Times New Roman"/>
          <w:color w:val="3D3735"/>
          <w:sz w:val="24"/>
          <w:szCs w:val="24"/>
        </w:rPr>
        <w:t xml:space="preserve">Главная страница сайта содержит блок преимуществ компании, который включает информацию о собственном производстве, лабораторных испытаниях, индивидуальных решениях, доставке и гарантии. Данный блок является стратегически важным местом для размещения информации об опросных листах, поскольку он демонстрирует клиентоориентированность компании.</w:t>
      </w:r>
    </w:p>
    <w:p>
      <w:pPr>
        <w:spacing w:after="150"/>
      </w:pPr>
      <w:r>
        <w:rPr>
          <w:rFonts w:ascii="Times New Roman" w:cs="Times New Roman" w:eastAsia="Times New Roman" w:hAnsi="Times New Roman"/>
          <w:b/>
          <w:bCs/>
          <w:color w:val="6B6361"/>
          <w:sz w:val="24"/>
          <w:szCs w:val="24"/>
        </w:rPr>
        <w:t xml:space="preserve">Варианты размещения:</w:t>
      </w:r>
    </w:p>
    <w:p>
      <w:pPr>
        <w:pStyle w:val="ListParagraph"/>
        <w:numPr>
          <w:ilvl w:val="0"/>
          <w:numId w:val="3"/>
        </w:numPr>
      </w:pPr>
      <w:r>
        <w:rPr>
          <w:rFonts w:ascii="Times New Roman" w:cs="Times New Roman" w:eastAsia="Times New Roman" w:hAnsi="Times New Roman"/>
          <w:color w:val="3D3735"/>
          <w:sz w:val="24"/>
          <w:szCs w:val="24"/>
        </w:rPr>
        <w:t xml:space="preserve">Отдельный блок после преимуществ: «Для расчёта стоимости заполните опросный лист» с кнопкой скачивания</w:t>
      </w:r>
    </w:p>
    <w:p>
      <w:pPr>
        <w:pStyle w:val="ListParagraph"/>
        <w:numPr>
          <w:ilvl w:val="0"/>
          <w:numId w:val="3"/>
        </w:numPr>
      </w:pPr>
      <w:r>
        <w:rPr>
          <w:rFonts w:ascii="Times New Roman" w:cs="Times New Roman" w:eastAsia="Times New Roman" w:hAnsi="Times New Roman"/>
          <w:color w:val="3D3735"/>
          <w:sz w:val="24"/>
          <w:szCs w:val="24"/>
        </w:rPr>
        <w:t xml:space="preserve">В составе блока преимуществ как отдельный пункт: «Опросные листы для точного расчёта»</w:t>
      </w:r>
    </w:p>
    <w:p>
      <w:pPr>
        <w:pStyle w:val="ListParagraph"/>
        <w:numPr>
          <w:ilvl w:val="0"/>
          <w:numId w:val="3"/>
        </w:numPr>
      </w:pPr>
      <w:r>
        <w:rPr>
          <w:rFonts w:ascii="Times New Roman" w:cs="Times New Roman" w:eastAsia="Times New Roman" w:hAnsi="Times New Roman"/>
          <w:color w:val="3D3735"/>
          <w:sz w:val="24"/>
          <w:szCs w:val="24"/>
        </w:rPr>
        <w:t xml:space="preserve">В «шторке» или плавающем элементе (если CMS3 поддерживает) — не рекомендуется из-за технических ограничений</w:t>
      </w:r>
    </w:p>
    <w:p>
      <w:pPr>
        <w:pStyle w:val="Heading2"/>
      </w:pPr>
      <w:r>
        <w:t xml:space="preserve">4.2. Страница «Контакты»</w:t>
      </w:r>
    </w:p>
    <w:p>
      <w:pPr>
        <w:spacing w:after="150"/>
      </w:pPr>
      <w:r>
        <w:rPr>
          <w:rFonts w:ascii="Times New Roman" w:cs="Times New Roman" w:eastAsia="Times New Roman" w:hAnsi="Times New Roman"/>
          <w:b/>
          <w:bCs/>
          <w:color w:val="C19A6B"/>
          <w:sz w:val="24"/>
          <w:szCs w:val="24"/>
        </w:rPr>
        <w:t xml:space="preserve">Рекомендация: Обязательно разместить блок после контактной информации.</w:t>
      </w:r>
    </w:p>
    <w:p>
      <w:pPr>
        <w:spacing w:after="200"/>
      </w:pPr>
      <w:r>
        <w:rPr>
          <w:rFonts w:ascii="Times New Roman" w:cs="Times New Roman" w:eastAsia="Times New Roman" w:hAnsi="Times New Roman"/>
          <w:color w:val="3D3735"/>
          <w:sz w:val="24"/>
          <w:szCs w:val="24"/>
        </w:rPr>
        <w:t xml:space="preserve">Страница контактов является одной из ключевых конверсионных страниц сайта. Пользователи, попадающие на эту страницу, уже заинтересованы в связи с компанией. Размещение блока скачивания опросного листа здесь позволяет перехватить тех пользователей, которые не готовы к немедленному звонку, но хотят начать взаимодействие.</w:t>
      </w:r>
    </w:p>
    <w:p>
      <w:pPr>
        <w:spacing w:after="200"/>
      </w:pPr>
      <w:r>
        <w:rPr>
          <w:rFonts w:ascii="Times New Roman" w:cs="Times New Roman" w:eastAsia="Times New Roman" w:hAnsi="Times New Roman"/>
          <w:color w:val="3D3735"/>
          <w:sz w:val="24"/>
          <w:szCs w:val="24"/>
        </w:rPr>
        <w:t xml:space="preserve">Рекомендуемое расположение: после блока с телефонами и адресом, перед формой обратной связи или после неё. Формат: стандартный блок среднего размера с заголовком, описанием и кнопкой. Текст блока может быть следующим: «Для получения точного коммерческого предложения скачайте опросный лист, заполните его и отправьте нам на почту ural-energy@internet.ru».</w:t>
      </w:r>
    </w:p>
    <w:p>
      <w:pPr>
        <w:pStyle w:val="Heading2"/>
      </w:pPr>
      <w:r>
        <w:t xml:space="preserve">4.3. Страница «О компании»</w:t>
      </w:r>
    </w:p>
    <w:p>
      <w:pPr>
        <w:spacing w:after="150"/>
      </w:pPr>
      <w:r>
        <w:rPr>
          <w:rFonts w:ascii="Times New Roman" w:cs="Times New Roman" w:eastAsia="Times New Roman" w:hAnsi="Times New Roman"/>
          <w:b/>
          <w:bCs/>
          <w:color w:val="C19A6B"/>
          <w:sz w:val="24"/>
          <w:szCs w:val="24"/>
        </w:rPr>
        <w:t xml:space="preserve">Рекомендация: Опциональное размещение текстовой ссылки.</w:t>
      </w:r>
    </w:p>
    <w:p>
      <w:pPr>
        <w:spacing w:after="200"/>
      </w:pPr>
      <w:r>
        <w:rPr>
          <w:rFonts w:ascii="Times New Roman" w:cs="Times New Roman" w:eastAsia="Times New Roman" w:hAnsi="Times New Roman"/>
          <w:color w:val="3D3735"/>
          <w:sz w:val="24"/>
          <w:szCs w:val="24"/>
        </w:rPr>
        <w:t xml:space="preserve">Страница «О компании» посещается пользователями, которые хотят убедиться в надёжности поставщика перед принятием решения. Для таких посетителей важно показать профессиональный подход к работе с клиентами. Размещение ссылки на опросные листы здесь носит вспомогательный характер и может быть реализовано как текстовая ссылка в тексте описания преимуществ работы с компанией.</w:t>
      </w:r>
    </w:p>
    <w:p>
      <w:pPr>
        <w:spacing w:after="200"/>
      </w:pPr>
      <w:r>
        <w:rPr>
          <w:rFonts w:ascii="Times New Roman" w:cs="Times New Roman" w:eastAsia="Times New Roman" w:hAnsi="Times New Roman"/>
          <w:color w:val="3D3735"/>
          <w:sz w:val="24"/>
          <w:szCs w:val="24"/>
        </w:rPr>
        <w:t xml:space="preserve">Пример интеграции: «Мы предлагаем индивидуальный подход к каждому заказчику. Для получения точного расчёта стоимости оборудования вы можете скачать опросный лист и направить его нашим специалистам». В данном случае выделенная фраза является ссылкой на страницу с опросными листами или прямым скачиванием файла.</w:t>
      </w:r>
    </w:p>
    <w:p>
      <w:pPr>
        <w:pStyle w:val="Heading2"/>
      </w:pPr>
      <w:r>
        <w:t xml:space="preserve">4.4. Страница «Склад готовой продукции»</w:t>
      </w:r>
    </w:p>
    <w:p>
      <w:pPr>
        <w:spacing w:after="150"/>
      </w:pPr>
      <w:r>
        <w:rPr>
          <w:rFonts w:ascii="Times New Roman" w:cs="Times New Roman" w:eastAsia="Times New Roman" w:hAnsi="Times New Roman"/>
          <w:b/>
          <w:bCs/>
          <w:color w:val="C19A6B"/>
          <w:sz w:val="24"/>
          <w:szCs w:val="24"/>
        </w:rPr>
        <w:t xml:space="preserve">Рекомендация: Разместить информационный блок.</w:t>
      </w:r>
    </w:p>
    <w:p>
      <w:pPr>
        <w:spacing w:after="200"/>
      </w:pPr>
      <w:r>
        <w:rPr>
          <w:rFonts w:ascii="Times New Roman" w:cs="Times New Roman" w:eastAsia="Times New Roman" w:hAnsi="Times New Roman"/>
          <w:color w:val="3D3735"/>
          <w:sz w:val="24"/>
          <w:szCs w:val="24"/>
        </w:rPr>
        <w:t xml:space="preserve">Страница склада готовой продукции привлекает посетителей, которым необходимо оборудование в кратчайшие сроки. Однако даже для стандартных позиций может потребоваться опросный лист для уточнения параметров подключения и комплектации. Размещение блока здесь позволит отработать возражения клиентов, которые не нашли подходящее оборудование на складе.</w:t>
      </w:r>
    </w:p>
    <w:p>
      <w:pPr>
        <w:pStyle w:val="Heading1"/>
      </w:pPr>
      <w:r>
        <w:t xml:space="preserve">5. Рекомендации по дизайну и адаптации</w:t>
      </w:r>
    </w:p>
    <w:p>
      <w:pPr>
        <w:pStyle w:val="Heading2"/>
      </w:pPr>
      <w:r>
        <w:t xml:space="preserve">5.1. Типы блоков для различных мест размещения</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3000"/>
        <w:gridCol w:w="3000"/>
      </w:tblGrid>
      <w:tr>
        <w:trPr>
          <w:tblHeader/>
        </w:trPr>
        <w:tc>
          <w:tcPr>
            <w:tcBorders>
              <w:top w:val="single" w:color="26211F" w:sz="12"/>
              <w:left w:val="nil"/>
              <w:bottom w:val="single" w:color="26211F" w:sz="12"/>
              <w:right w:val="nil"/>
            </w:tcBorders>
            <w:shd w:fill="E8E2DC" w:val="clear"/>
            <w:vAlign w:val="center"/>
          </w:tcPr>
          <w:p>
            <w:pPr>
              <w:jc w:val="center"/>
            </w:pPr>
            <w:r>
              <w:rPr>
                <w:b/>
                <w:bCs/>
                <w:color w:val="26211F"/>
                <w:sz w:val="22"/>
                <w:szCs w:val="22"/>
              </w:rPr>
              <w:t xml:space="preserve">Тип блока</w:t>
            </w:r>
          </w:p>
        </w:tc>
        <w:tc>
          <w:tcPr>
            <w:tcBorders>
              <w:top w:val="single" w:color="26211F" w:sz="12"/>
              <w:left w:val="nil"/>
              <w:bottom w:val="single" w:color="26211F" w:sz="12"/>
              <w:right w:val="nil"/>
            </w:tcBorders>
            <w:shd w:fill="E8E2DC" w:val="clear"/>
            <w:vAlign w:val="center"/>
          </w:tcPr>
          <w:p>
            <w:pPr>
              <w:jc w:val="center"/>
            </w:pPr>
            <w:r>
              <w:rPr>
                <w:b/>
                <w:bCs/>
                <w:color w:val="26211F"/>
                <w:sz w:val="22"/>
                <w:szCs w:val="22"/>
              </w:rPr>
              <w:t xml:space="preserve">Размеры</w:t>
            </w:r>
          </w:p>
        </w:tc>
        <w:tc>
          <w:tcPr>
            <w:tcBorders>
              <w:top w:val="single" w:color="26211F" w:sz="12"/>
              <w:left w:val="nil"/>
              <w:bottom w:val="single" w:color="26211F" w:sz="12"/>
              <w:right w:val="nil"/>
            </w:tcBorders>
            <w:shd w:fill="E8E2DC" w:val="clear"/>
            <w:vAlign w:val="center"/>
          </w:tcPr>
          <w:p>
            <w:pPr>
              <w:jc w:val="center"/>
            </w:pPr>
            <w:r>
              <w:rPr>
                <w:b/>
                <w:bCs/>
                <w:color w:val="26211F"/>
                <w:sz w:val="22"/>
                <w:szCs w:val="22"/>
              </w:rPr>
              <w:t xml:space="preserve">Места размещения</w:t>
            </w:r>
          </w:p>
        </w:tc>
      </w:tr>
      <w:tr>
        <w:tc>
          <w:tcPr>
            <w:tcBorders>
              <w:top w:val="single" w:color="26211F" w:sz="12"/>
              <w:left w:val="nil"/>
              <w:bottom w:val="single" w:color="26211F" w:sz="12"/>
              <w:right w:val="nil"/>
            </w:tcBorders>
            <w:vAlign w:val="center"/>
          </w:tcPr>
          <w:p>
            <w:pPr>
              <w:jc w:val="center"/>
            </w:pPr>
            <w:r>
              <w:rPr>
                <w:color w:val="3D3735"/>
                <w:sz w:val="22"/>
                <w:szCs w:val="22"/>
              </w:rPr>
              <w:t xml:space="preserve">Полный (как в КТП)</w:t>
            </w:r>
          </w:p>
        </w:tc>
        <w:tc>
          <w:tcPr>
            <w:tcBorders>
              <w:top w:val="single" w:color="26211F" w:sz="12"/>
              <w:left w:val="nil"/>
              <w:bottom w:val="single" w:color="26211F" w:sz="12"/>
              <w:right w:val="nil"/>
            </w:tcBorders>
            <w:vAlign w:val="center"/>
          </w:tcPr>
          <w:p>
            <w:pPr>
              <w:jc w:val="center"/>
            </w:pPr>
            <w:r>
              <w:rPr>
                <w:color w:val="3D3735"/>
                <w:sz w:val="22"/>
                <w:szCs w:val="22"/>
              </w:rPr>
              <w:t xml:space="preserve">100% ширины контента</w:t>
            </w:r>
          </w:p>
        </w:tc>
        <w:tc>
          <w:tcPr>
            <w:tcBorders>
              <w:top w:val="single" w:color="26211F" w:sz="12"/>
              <w:left w:val="nil"/>
              <w:bottom w:val="single" w:color="26211F" w:sz="12"/>
              <w:right w:val="nil"/>
            </w:tcBorders>
            <w:vAlign w:val="center"/>
          </w:tcPr>
          <w:p>
            <w:pPr>
              <w:jc w:val="center"/>
            </w:pPr>
            <w:r>
              <w:rPr>
                <w:color w:val="3D3735"/>
                <w:sz w:val="22"/>
                <w:szCs w:val="22"/>
              </w:rPr>
              <w:t xml:space="preserve">КТП, Контакты</w:t>
            </w:r>
          </w:p>
        </w:tc>
      </w:tr>
      <w:tr>
        <w:tc>
          <w:tcPr>
            <w:tcBorders>
              <w:top w:val="single" w:color="26211F" w:sz="12"/>
              <w:left w:val="nil"/>
              <w:bottom w:val="single" w:color="26211F" w:sz="12"/>
              <w:right w:val="nil"/>
            </w:tcBorders>
            <w:vAlign w:val="center"/>
          </w:tcPr>
          <w:p>
            <w:pPr>
              <w:jc w:val="center"/>
            </w:pPr>
            <w:r>
              <w:rPr>
                <w:color w:val="3D3735"/>
                <w:sz w:val="22"/>
                <w:szCs w:val="22"/>
              </w:rPr>
              <w:t xml:space="preserve">Средний</w:t>
            </w:r>
          </w:p>
        </w:tc>
        <w:tc>
          <w:tcPr>
            <w:tcBorders>
              <w:top w:val="single" w:color="26211F" w:sz="12"/>
              <w:left w:val="nil"/>
              <w:bottom w:val="single" w:color="26211F" w:sz="12"/>
              <w:right w:val="nil"/>
            </w:tcBorders>
            <w:vAlign w:val="center"/>
          </w:tcPr>
          <w:p>
            <w:pPr>
              <w:jc w:val="center"/>
            </w:pPr>
            <w:r>
              <w:rPr>
                <w:color w:val="3D3735"/>
                <w:sz w:val="22"/>
                <w:szCs w:val="22"/>
              </w:rPr>
              <w:t xml:space="preserve">400-500 пикселей</w:t>
            </w:r>
          </w:p>
        </w:tc>
        <w:tc>
          <w:tcPr>
            <w:tcBorders>
              <w:top w:val="single" w:color="26211F" w:sz="12"/>
              <w:left w:val="nil"/>
              <w:bottom w:val="single" w:color="26211F" w:sz="12"/>
              <w:right w:val="nil"/>
            </w:tcBorders>
            <w:vAlign w:val="center"/>
          </w:tcPr>
          <w:p>
            <w:pPr>
              <w:jc w:val="center"/>
            </w:pPr>
            <w:r>
              <w:rPr>
                <w:color w:val="3D3735"/>
                <w:sz w:val="22"/>
                <w:szCs w:val="22"/>
              </w:rPr>
              <w:t xml:space="preserve">Главная, категории</w:t>
            </w:r>
          </w:p>
        </w:tc>
      </w:tr>
      <w:tr>
        <w:tc>
          <w:tcPr>
            <w:tcBorders>
              <w:top w:val="single" w:color="26211F" w:sz="12"/>
              <w:left w:val="nil"/>
              <w:bottom w:val="single" w:color="26211F" w:sz="12"/>
              <w:right w:val="nil"/>
            </w:tcBorders>
            <w:vAlign w:val="center"/>
          </w:tcPr>
          <w:p>
            <w:pPr>
              <w:jc w:val="center"/>
            </w:pPr>
            <w:r>
              <w:rPr>
                <w:color w:val="3D3735"/>
                <w:sz w:val="22"/>
                <w:szCs w:val="22"/>
              </w:rPr>
              <w:t xml:space="preserve">Компактный</w:t>
            </w:r>
          </w:p>
        </w:tc>
        <w:tc>
          <w:tcPr>
            <w:tcBorders>
              <w:top w:val="single" w:color="26211F" w:sz="12"/>
              <w:left w:val="nil"/>
              <w:bottom w:val="single" w:color="26211F" w:sz="12"/>
              <w:right w:val="nil"/>
            </w:tcBorders>
            <w:vAlign w:val="center"/>
          </w:tcPr>
          <w:p>
            <w:pPr>
              <w:jc w:val="center"/>
            </w:pPr>
            <w:r>
              <w:rPr>
                <w:color w:val="3D3735"/>
                <w:sz w:val="22"/>
                <w:szCs w:val="22"/>
              </w:rPr>
              <w:t xml:space="preserve">250-350 пикселей</w:t>
            </w:r>
          </w:p>
        </w:tc>
        <w:tc>
          <w:tcPr>
            <w:tcBorders>
              <w:top w:val="single" w:color="26211F" w:sz="12"/>
              <w:left w:val="nil"/>
              <w:bottom w:val="single" w:color="26211F" w:sz="12"/>
              <w:right w:val="nil"/>
            </w:tcBorders>
            <w:vAlign w:val="center"/>
          </w:tcPr>
          <w:p>
            <w:pPr>
              <w:jc w:val="center"/>
            </w:pPr>
            <w:r>
              <w:rPr>
                <w:color w:val="3D3735"/>
                <w:sz w:val="22"/>
                <w:szCs w:val="22"/>
              </w:rPr>
              <w:t xml:space="preserve">Боковая колонка, карточки</w:t>
            </w:r>
          </w:p>
        </w:tc>
      </w:tr>
      <w:tr>
        <w:tc>
          <w:tcPr>
            <w:tcBorders>
              <w:top w:val="single" w:color="26211F" w:sz="12"/>
              <w:left w:val="nil"/>
              <w:bottom w:val="single" w:color="26211F" w:sz="12"/>
              <w:right w:val="nil"/>
            </w:tcBorders>
            <w:vAlign w:val="center"/>
          </w:tcPr>
          <w:p>
            <w:pPr>
              <w:jc w:val="center"/>
            </w:pPr>
            <w:r>
              <w:rPr>
                <w:color w:val="3D3735"/>
                <w:sz w:val="22"/>
                <w:szCs w:val="22"/>
              </w:rPr>
              <w:t xml:space="preserve">Текстовая ссылка</w:t>
            </w:r>
          </w:p>
        </w:tc>
        <w:tc>
          <w:tcPr>
            <w:tcBorders>
              <w:top w:val="single" w:color="26211F" w:sz="12"/>
              <w:left w:val="nil"/>
              <w:bottom w:val="single" w:color="26211F" w:sz="12"/>
              <w:right w:val="nil"/>
            </w:tcBorders>
            <w:vAlign w:val="center"/>
          </w:tcPr>
          <w:p>
            <w:pPr>
              <w:jc w:val="center"/>
            </w:pPr>
            <w:r>
              <w:rPr>
                <w:color w:val="3D3735"/>
                <w:sz w:val="22"/>
                <w:szCs w:val="22"/>
              </w:rPr>
              <w:t xml:space="preserve">Встроенная в текст</w:t>
            </w:r>
          </w:p>
        </w:tc>
        <w:tc>
          <w:tcPr>
            <w:tcBorders>
              <w:top w:val="single" w:color="26211F" w:sz="12"/>
              <w:left w:val="nil"/>
              <w:bottom w:val="single" w:color="26211F" w:sz="12"/>
              <w:right w:val="nil"/>
            </w:tcBorders>
            <w:vAlign w:val="center"/>
          </w:tcPr>
          <w:p>
            <w:pPr>
              <w:jc w:val="center"/>
            </w:pPr>
            <w:r>
              <w:rPr>
                <w:color w:val="3D3735"/>
                <w:sz w:val="22"/>
                <w:szCs w:val="22"/>
              </w:rPr>
              <w:t xml:space="preserve">Подвал, О компании</w:t>
            </w:r>
          </w:p>
        </w:tc>
      </w:tr>
    </w:tbl>
    <w:p>
      <w:pPr>
        <w:spacing w:before="300"/>
      </w:pPr>
    </w:p>
    <w:p>
      <w:pPr>
        <w:pStyle w:val="Heading2"/>
      </w:pPr>
      <w:r>
        <w:t xml:space="preserve">5.2. Адаптация дизайна для ограниченного пространства</w:t>
      </w:r>
    </w:p>
    <w:p>
      <w:pPr>
        <w:spacing w:after="150"/>
      </w:pPr>
      <w:r>
        <w:rPr>
          <w:rFonts w:ascii="Times New Roman" w:cs="Times New Roman" w:eastAsia="Times New Roman" w:hAnsi="Times New Roman"/>
          <w:color w:val="3D3735"/>
          <w:sz w:val="24"/>
          <w:szCs w:val="24"/>
        </w:rPr>
        <w:t xml:space="preserve">При размещении блока скачивания в местах с ограниченным пространством рекомендуется использовать следующие подходы к адаптации дизайна.</w:t>
      </w:r>
    </w:p>
    <w:p>
      <w:pPr>
        <w:spacing w:after="150"/>
      </w:pPr>
      <w:r>
        <w:rPr>
          <w:rFonts w:ascii="Times New Roman" w:cs="Times New Roman" w:eastAsia="Times New Roman" w:hAnsi="Times New Roman"/>
          <w:b/>
          <w:bCs/>
          <w:color w:val="6B6361"/>
          <w:sz w:val="24"/>
          <w:szCs w:val="24"/>
        </w:rPr>
        <w:t xml:space="preserve">Для боковой колонки:</w:t>
      </w:r>
    </w:p>
    <w:p>
      <w:pPr>
        <w:pStyle w:val="ListParagraph"/>
        <w:numPr>
          <w:ilvl w:val="0"/>
          <w:numId w:val="4"/>
        </w:numPr>
      </w:pPr>
      <w:r>
        <w:rPr>
          <w:rFonts w:ascii="Times New Roman" w:cs="Times New Roman" w:eastAsia="Times New Roman" w:hAnsi="Times New Roman"/>
          <w:color w:val="3D3735"/>
          <w:sz w:val="24"/>
          <w:szCs w:val="24"/>
        </w:rPr>
        <w:t xml:space="preserve">Уменьшить размер заголовка до 16-18 пикселей</w:t>
      </w:r>
    </w:p>
    <w:p>
      <w:pPr>
        <w:pStyle w:val="ListParagraph"/>
        <w:numPr>
          <w:ilvl w:val="0"/>
          <w:numId w:val="4"/>
        </w:numPr>
      </w:pPr>
      <w:r>
        <w:rPr>
          <w:rFonts w:ascii="Times New Roman" w:cs="Times New Roman" w:eastAsia="Times New Roman" w:hAnsi="Times New Roman"/>
          <w:color w:val="3D3735"/>
          <w:sz w:val="24"/>
          <w:szCs w:val="24"/>
        </w:rPr>
        <w:t xml:space="preserve">Сократить описание до одной строки</w:t>
      </w:r>
    </w:p>
    <w:p>
      <w:pPr>
        <w:pStyle w:val="ListParagraph"/>
        <w:numPr>
          <w:ilvl w:val="0"/>
          <w:numId w:val="4"/>
        </w:numPr>
      </w:pPr>
      <w:r>
        <w:rPr>
          <w:rFonts w:ascii="Times New Roman" w:cs="Times New Roman" w:eastAsia="Times New Roman" w:hAnsi="Times New Roman"/>
          <w:color w:val="3D3735"/>
          <w:sz w:val="24"/>
          <w:szCs w:val="24"/>
        </w:rPr>
        <w:t xml:space="preserve">Использовать иконку меньшего размера или убрать её</w:t>
      </w:r>
    </w:p>
    <w:p>
      <w:pPr>
        <w:pStyle w:val="ListParagraph"/>
        <w:numPr>
          <w:ilvl w:val="0"/>
          <w:numId w:val="4"/>
        </w:numPr>
      </w:pPr>
      <w:r>
        <w:rPr>
          <w:rFonts w:ascii="Times New Roman" w:cs="Times New Roman" w:eastAsia="Times New Roman" w:hAnsi="Times New Roman"/>
          <w:color w:val="3D3735"/>
          <w:sz w:val="24"/>
          <w:szCs w:val="24"/>
        </w:rPr>
        <w:t xml:space="preserve">Кнопка на всю ширину блока с текстом «Скачать»</w:t>
      </w:r>
    </w:p>
    <w:p>
      <w:pPr>
        <w:spacing w:after="150" w:before="200"/>
      </w:pPr>
      <w:r>
        <w:rPr>
          <w:rFonts w:ascii="Times New Roman" w:cs="Times New Roman" w:eastAsia="Times New Roman" w:hAnsi="Times New Roman"/>
          <w:b/>
          <w:bCs/>
          <w:color w:val="6B6361"/>
          <w:sz w:val="24"/>
          <w:szCs w:val="24"/>
        </w:rPr>
        <w:t xml:space="preserve">Для карточки товара:</w:t>
      </w:r>
    </w:p>
    <w:p>
      <w:pPr>
        <w:pStyle w:val="ListParagraph"/>
        <w:numPr>
          <w:ilvl w:val="0"/>
          <w:numId w:val="5"/>
        </w:numPr>
      </w:pPr>
      <w:r>
        <w:rPr>
          <w:rFonts w:ascii="Times New Roman" w:cs="Times New Roman" w:eastAsia="Times New Roman" w:hAnsi="Times New Roman"/>
          <w:color w:val="3D3735"/>
          <w:sz w:val="24"/>
          <w:szCs w:val="24"/>
        </w:rPr>
        <w:t xml:space="preserve">Использовать inline-кнопку без фонового блока</w:t>
      </w:r>
    </w:p>
    <w:p>
      <w:pPr>
        <w:pStyle w:val="ListParagraph"/>
        <w:numPr>
          <w:ilvl w:val="0"/>
          <w:numId w:val="5"/>
        </w:numPr>
      </w:pPr>
      <w:r>
        <w:rPr>
          <w:rFonts w:ascii="Times New Roman" w:cs="Times New Roman" w:eastAsia="Times New Roman" w:hAnsi="Times New Roman"/>
          <w:color w:val="3D3735"/>
          <w:sz w:val="24"/>
          <w:szCs w:val="24"/>
        </w:rPr>
        <w:t xml:space="preserve">Добавить иконку скачивания перед текстом</w:t>
      </w:r>
    </w:p>
    <w:p>
      <w:pPr>
        <w:pStyle w:val="ListParagraph"/>
        <w:numPr>
          <w:ilvl w:val="0"/>
          <w:numId w:val="5"/>
        </w:numPr>
      </w:pPr>
      <w:r>
        <w:rPr>
          <w:rFonts w:ascii="Times New Roman" w:cs="Times New Roman" w:eastAsia="Times New Roman" w:hAnsi="Times New Roman"/>
          <w:color w:val="3D3735"/>
          <w:sz w:val="24"/>
          <w:szCs w:val="24"/>
        </w:rPr>
        <w:t xml:space="preserve">Разместить рядом с кнопкой «Заказать» или телефонами</w:t>
      </w:r>
    </w:p>
    <w:p>
      <w:pPr>
        <w:pStyle w:val="Heading2"/>
      </w:pPr>
      <w:r>
        <w:t xml:space="preserve">5.3. Визуальная консистентность</w:t>
      </w:r>
    </w:p>
    <w:p>
      <w:pPr>
        <w:spacing w:after="200"/>
      </w:pPr>
      <w:r>
        <w:rPr>
          <w:rFonts w:ascii="Times New Roman" w:cs="Times New Roman" w:eastAsia="Times New Roman" w:hAnsi="Times New Roman"/>
          <w:color w:val="3D3735"/>
          <w:sz w:val="24"/>
          <w:szCs w:val="24"/>
        </w:rPr>
        <w:t xml:space="preserve">Для сохранения визуальной целостности сайта все варианты блоков должны использовать единые дизайн-элементы: жёлтый цвет кнопки (как в текущем блоке КТП), единый шрифт для заголовков и текста, единый стиль иконок. Допускается адаптация размеров элементов, но не их стилистического решения.</w:t>
      </w:r>
    </w:p>
    <w:p>
      <w:pPr>
        <w:pStyle w:val="Heading1"/>
      </w:pPr>
      <w:r>
        <w:t xml:space="preserve">6. Пошаговое руководство для CMS3</w:t>
      </w:r>
    </w:p>
    <w:p>
      <w:pPr>
        <w:spacing w:after="200"/>
      </w:pPr>
      <w:r>
        <w:rPr>
          <w:rFonts w:ascii="Times New Roman" w:cs="Times New Roman" w:eastAsia="Times New Roman" w:hAnsi="Times New Roman"/>
          <w:color w:val="3D3735"/>
          <w:sz w:val="24"/>
          <w:szCs w:val="24"/>
        </w:rPr>
        <w:t xml:space="preserve">Ниже представлено пошаговое руководство по реализации рекомендаций в административной панели CMS3. Данные инструкции учитывают технические ограничения платформы и предлагают только статичные решения.</w:t>
      </w:r>
    </w:p>
    <w:p>
      <w:pPr>
        <w:pStyle w:val="Heading2"/>
      </w:pPr>
      <w:r>
        <w:t xml:space="preserve">6.1. Добавление пункта в главное меню</w:t>
      </w:r>
    </w:p>
    <w:p>
      <w:pPr>
        <w:pStyle w:val="ListParagraph"/>
        <w:numPr>
          <w:ilvl w:val="0"/>
          <w:numId w:val="6"/>
        </w:numPr>
      </w:pPr>
      <w:r>
        <w:rPr>
          <w:rFonts w:ascii="Times New Roman" w:cs="Times New Roman" w:eastAsia="Times New Roman" w:hAnsi="Times New Roman"/>
          <w:color w:val="3D3735"/>
          <w:sz w:val="24"/>
          <w:szCs w:val="24"/>
        </w:rPr>
        <w:t xml:space="preserve">Войти в админ-панель CMS3</w:t>
      </w:r>
    </w:p>
    <w:p>
      <w:pPr>
        <w:pStyle w:val="ListParagraph"/>
        <w:numPr>
          <w:ilvl w:val="0"/>
          <w:numId w:val="6"/>
        </w:numPr>
      </w:pPr>
      <w:r>
        <w:rPr>
          <w:rFonts w:ascii="Times New Roman" w:cs="Times New Roman" w:eastAsia="Times New Roman" w:hAnsi="Times New Roman"/>
          <w:color w:val="3D3735"/>
          <w:sz w:val="24"/>
          <w:szCs w:val="24"/>
        </w:rPr>
        <w:t xml:space="preserve">Перейти в раздел «Настройки» → «Меню»</w:t>
      </w:r>
    </w:p>
    <w:p>
      <w:pPr>
        <w:pStyle w:val="ListParagraph"/>
        <w:numPr>
          <w:ilvl w:val="0"/>
          <w:numId w:val="6"/>
        </w:numPr>
      </w:pPr>
      <w:r>
        <w:rPr>
          <w:rFonts w:ascii="Times New Roman" w:cs="Times New Roman" w:eastAsia="Times New Roman" w:hAnsi="Times New Roman"/>
          <w:color w:val="3D3735"/>
          <w:sz w:val="24"/>
          <w:szCs w:val="24"/>
        </w:rPr>
        <w:t xml:space="preserve">Выбрать главное меню сайта</w:t>
      </w:r>
    </w:p>
    <w:p>
      <w:pPr>
        <w:pStyle w:val="ListParagraph"/>
        <w:numPr>
          <w:ilvl w:val="0"/>
          <w:numId w:val="6"/>
        </w:numPr>
      </w:pPr>
      <w:r>
        <w:rPr>
          <w:rFonts w:ascii="Times New Roman" w:cs="Times New Roman" w:eastAsia="Times New Roman" w:hAnsi="Times New Roman"/>
          <w:color w:val="3D3735"/>
          <w:sz w:val="24"/>
          <w:szCs w:val="24"/>
        </w:rPr>
        <w:t xml:space="preserve">Добавить новый пункт после «Каталог» с текстом «Опросные листы»</w:t>
      </w:r>
    </w:p>
    <w:p>
      <w:pPr>
        <w:pStyle w:val="ListParagraph"/>
        <w:numPr>
          <w:ilvl w:val="0"/>
          <w:numId w:val="6"/>
        </w:numPr>
      </w:pPr>
      <w:r>
        <w:rPr>
          <w:rFonts w:ascii="Times New Roman" w:cs="Times New Roman" w:eastAsia="Times New Roman" w:hAnsi="Times New Roman"/>
          <w:color w:val="3D3735"/>
          <w:sz w:val="24"/>
          <w:szCs w:val="24"/>
        </w:rPr>
        <w:t xml:space="preserve">Указать ссылку на страницу со всеми опросными листами или прямой путь к файлу</w:t>
      </w:r>
    </w:p>
    <w:p>
      <w:pPr>
        <w:pStyle w:val="ListParagraph"/>
        <w:numPr>
          <w:ilvl w:val="0"/>
          <w:numId w:val="6"/>
        </w:numPr>
      </w:pPr>
      <w:r>
        <w:rPr>
          <w:rFonts w:ascii="Times New Roman" w:cs="Times New Roman" w:eastAsia="Times New Roman" w:hAnsi="Times New Roman"/>
          <w:color w:val="3D3735"/>
          <w:sz w:val="24"/>
          <w:szCs w:val="24"/>
        </w:rPr>
        <w:t xml:space="preserve">Сохранить изменения</w:t>
      </w:r>
    </w:p>
    <w:p>
      <w:pPr>
        <w:pStyle w:val="Heading2"/>
      </w:pPr>
      <w:r>
        <w:t xml:space="preserve">6.2. Добавление ссылки в подвал сайта</w:t>
      </w:r>
    </w:p>
    <w:p>
      <w:pPr>
        <w:pStyle w:val="ListParagraph"/>
        <w:numPr>
          <w:ilvl w:val="0"/>
          <w:numId w:val="7"/>
        </w:numPr>
      </w:pPr>
      <w:r>
        <w:rPr>
          <w:rFonts w:ascii="Times New Roman" w:cs="Times New Roman" w:eastAsia="Times New Roman" w:hAnsi="Times New Roman"/>
          <w:color w:val="3D3735"/>
          <w:sz w:val="24"/>
          <w:szCs w:val="24"/>
        </w:rPr>
        <w:t xml:space="preserve">Перейти в «Дизайн» → «Подвал сайта»</w:t>
      </w:r>
    </w:p>
    <w:p>
      <w:pPr>
        <w:pStyle w:val="ListParagraph"/>
        <w:numPr>
          <w:ilvl w:val="0"/>
          <w:numId w:val="7"/>
        </w:numPr>
      </w:pPr>
      <w:r>
        <w:rPr>
          <w:rFonts w:ascii="Times New Roman" w:cs="Times New Roman" w:eastAsia="Times New Roman" w:hAnsi="Times New Roman"/>
          <w:color w:val="3D3735"/>
          <w:sz w:val="24"/>
          <w:szCs w:val="24"/>
        </w:rPr>
        <w:t xml:space="preserve">Найти блок с документами или создать новый</w:t>
      </w:r>
    </w:p>
    <w:p>
      <w:pPr>
        <w:pStyle w:val="ListParagraph"/>
        <w:numPr>
          <w:ilvl w:val="0"/>
          <w:numId w:val="7"/>
        </w:numPr>
      </w:pPr>
      <w:r>
        <w:rPr>
          <w:rFonts w:ascii="Times New Roman" w:cs="Times New Roman" w:eastAsia="Times New Roman" w:hAnsi="Times New Roman"/>
          <w:color w:val="3D3735"/>
          <w:sz w:val="24"/>
          <w:szCs w:val="24"/>
        </w:rPr>
        <w:t xml:space="preserve">Добавить текст: «Опросные листы для заказа»</w:t>
      </w:r>
    </w:p>
    <w:p>
      <w:pPr>
        <w:pStyle w:val="ListParagraph"/>
        <w:numPr>
          <w:ilvl w:val="0"/>
          <w:numId w:val="7"/>
        </w:numPr>
      </w:pPr>
      <w:r>
        <w:rPr>
          <w:rFonts w:ascii="Times New Roman" w:cs="Times New Roman" w:eastAsia="Times New Roman" w:hAnsi="Times New Roman"/>
          <w:color w:val="3D3735"/>
          <w:sz w:val="24"/>
          <w:szCs w:val="24"/>
        </w:rPr>
        <w:t xml:space="preserve">Выделить текст и сделать его ссылкой на файл</w:t>
      </w:r>
    </w:p>
    <w:p>
      <w:pPr>
        <w:pStyle w:val="ListParagraph"/>
        <w:numPr>
          <w:ilvl w:val="0"/>
          <w:numId w:val="7"/>
        </w:numPr>
      </w:pPr>
      <w:r>
        <w:rPr>
          <w:rFonts w:ascii="Times New Roman" w:cs="Times New Roman" w:eastAsia="Times New Roman" w:hAnsi="Times New Roman"/>
          <w:color w:val="3D3735"/>
          <w:sz w:val="24"/>
          <w:szCs w:val="24"/>
        </w:rPr>
        <w:t xml:space="preserve">Опционально: добавить иконку документа через HTML-редактор</w:t>
      </w:r>
    </w:p>
    <w:p>
      <w:pPr>
        <w:pStyle w:val="Heading2"/>
      </w:pPr>
      <w:r>
        <w:t xml:space="preserve">6.3. Размещение блока на страницах категорий</w:t>
      </w:r>
    </w:p>
    <w:p>
      <w:pPr>
        <w:pStyle w:val="ListParagraph"/>
        <w:numPr>
          <w:ilvl w:val="0"/>
          <w:numId w:val="8"/>
        </w:numPr>
      </w:pPr>
      <w:r>
        <w:rPr>
          <w:rFonts w:ascii="Times New Roman" w:cs="Times New Roman" w:eastAsia="Times New Roman" w:hAnsi="Times New Roman"/>
          <w:color w:val="3D3735"/>
          <w:sz w:val="24"/>
          <w:szCs w:val="24"/>
        </w:rPr>
        <w:t xml:space="preserve">Перейти в «Каталог» → нужная категория</w:t>
      </w:r>
    </w:p>
    <w:p>
      <w:pPr>
        <w:pStyle w:val="ListParagraph"/>
        <w:numPr>
          <w:ilvl w:val="0"/>
          <w:numId w:val="8"/>
        </w:numPr>
      </w:pPr>
      <w:r>
        <w:rPr>
          <w:rFonts w:ascii="Times New Roman" w:cs="Times New Roman" w:eastAsia="Times New Roman" w:hAnsi="Times New Roman"/>
          <w:color w:val="3D3735"/>
          <w:sz w:val="24"/>
          <w:szCs w:val="24"/>
        </w:rPr>
        <w:t xml:space="preserve">Нажать «Редактировать страницу»</w:t>
      </w:r>
    </w:p>
    <w:p>
      <w:pPr>
        <w:pStyle w:val="ListParagraph"/>
        <w:numPr>
          <w:ilvl w:val="0"/>
          <w:numId w:val="8"/>
        </w:numPr>
      </w:pPr>
      <w:r>
        <w:rPr>
          <w:rFonts w:ascii="Times New Roman" w:cs="Times New Roman" w:eastAsia="Times New Roman" w:hAnsi="Times New Roman"/>
          <w:color w:val="3D3735"/>
          <w:sz w:val="24"/>
          <w:szCs w:val="24"/>
        </w:rPr>
        <w:t xml:space="preserve">Добавить новый блок после описания категории</w:t>
      </w:r>
    </w:p>
    <w:p>
      <w:pPr>
        <w:pStyle w:val="ListParagraph"/>
        <w:numPr>
          <w:ilvl w:val="0"/>
          <w:numId w:val="8"/>
        </w:numPr>
      </w:pPr>
      <w:r>
        <w:rPr>
          <w:rFonts w:ascii="Times New Roman" w:cs="Times New Roman" w:eastAsia="Times New Roman" w:hAnsi="Times New Roman"/>
          <w:color w:val="3D3735"/>
          <w:sz w:val="24"/>
          <w:szCs w:val="24"/>
        </w:rPr>
        <w:t xml:space="preserve">Вставить HTML-код компактного блока (см. шаблон ниже)</w:t>
      </w:r>
    </w:p>
    <w:p>
      <w:pPr>
        <w:pStyle w:val="ListParagraph"/>
        <w:numPr>
          <w:ilvl w:val="0"/>
          <w:numId w:val="8"/>
        </w:numPr>
      </w:pPr>
      <w:r>
        <w:rPr>
          <w:rFonts w:ascii="Times New Roman" w:cs="Times New Roman" w:eastAsia="Times New Roman" w:hAnsi="Times New Roman"/>
          <w:color w:val="3D3735"/>
          <w:sz w:val="24"/>
          <w:szCs w:val="24"/>
        </w:rPr>
        <w:t xml:space="preserve">Сохранить и опубликовать страницу</w:t>
      </w:r>
    </w:p>
    <w:p>
      <w:pPr>
        <w:pStyle w:val="Heading2"/>
      </w:pPr>
      <w:r>
        <w:t xml:space="preserve">6.4. Шаблон компактного блока (HTML)</w:t>
      </w:r>
    </w:p>
    <w:p>
      <w:pPr>
        <w:spacing w:after="150"/>
      </w:pPr>
      <w:r>
        <w:rPr>
          <w:rFonts w:ascii="Times New Roman" w:cs="Times New Roman" w:eastAsia="Times New Roman" w:hAnsi="Times New Roman"/>
          <w:color w:val="3D3735"/>
          <w:sz w:val="24"/>
          <w:szCs w:val="24"/>
        </w:rPr>
        <w:t xml:space="preserve">Для вставки в страницы категорий и карточек товаров:</w:t>
      </w:r>
    </w:p>
    <w:p>
      <w:pPr>
        <w:shd w:fill="F5F5F5" w:val="clear"/>
        <w:spacing w:after="200"/>
      </w:pPr>
      <w:r>
        <w:rPr>
          <w:rFonts w:ascii="Courier New" w:cs="Courier New" w:eastAsia="Courier New" w:hAnsi="Courier New"/>
          <w:color w:val="3D3735"/>
          <w:sz w:val="18"/>
          <w:szCs w:val="18"/>
        </w:rPr>
        <w:t xml:space="preserve">&lt;div style="background:#f8f8f8; padding:15px; border-radius:8px; margin:20px 0;"&gt; &lt;p style="font-weight:bold; margin:0 0 8px 0;"&gt;Скачать опросный лист&lt;/p&gt; &lt;p style="font-size:14px; color:#666; margin:0 0 12px 0;"&gt;Заполните и отправьте нам для расчёта&lt;/p&gt; &lt;a href="/files/oprosniy-list.xls" style="background:#FFD700; color:#000; padding:10px 20px; text-decoration:none; border-radius:4px; display:inline-block;"&gt;Скачать .xls&lt;/a&gt; &lt;/div&gt;</w:t>
      </w:r>
    </w:p>
    <w:p>
      <w:pPr>
        <w:pStyle w:val="Heading1"/>
      </w:pPr>
      <w:r>
        <w:t xml:space="preserve">7. Сводная таблица размещений</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800"/>
        <w:gridCol w:w="2200"/>
        <w:gridCol w:w="2200"/>
        <w:gridCol w:w="2200"/>
      </w:tblGrid>
      <w:tr>
        <w:trPr>
          <w:tblHeader/>
        </w:trPr>
        <w:tc>
          <w:tcPr>
            <w:tcBorders>
              <w:top w:val="single" w:color="26211F" w:sz="12"/>
              <w:left w:val="nil"/>
              <w:bottom w:val="single" w:color="26211F" w:sz="12"/>
              <w:right w:val="nil"/>
            </w:tcBorders>
            <w:shd w:fill="E8E2DC" w:val="clear"/>
            <w:vAlign w:val="center"/>
          </w:tcPr>
          <w:p>
            <w:pPr>
              <w:jc w:val="center"/>
            </w:pPr>
            <w:r>
              <w:rPr>
                <w:b/>
                <w:bCs/>
                <w:color w:val="26211F"/>
                <w:sz w:val="20"/>
                <w:szCs w:val="20"/>
              </w:rPr>
              <w:t xml:space="preserve">Страница/раздел</w:t>
            </w:r>
          </w:p>
        </w:tc>
        <w:tc>
          <w:tcPr>
            <w:tcBorders>
              <w:top w:val="single" w:color="26211F" w:sz="12"/>
              <w:left w:val="nil"/>
              <w:bottom w:val="single" w:color="26211F" w:sz="12"/>
              <w:right w:val="nil"/>
            </w:tcBorders>
            <w:shd w:fill="E8E2DC" w:val="clear"/>
            <w:vAlign w:val="center"/>
          </w:tcPr>
          <w:p>
            <w:pPr>
              <w:jc w:val="center"/>
            </w:pPr>
            <w:r>
              <w:rPr>
                <w:b/>
                <w:bCs/>
                <w:color w:val="26211F"/>
                <w:sz w:val="20"/>
                <w:szCs w:val="20"/>
              </w:rPr>
              <w:t xml:space="preserve">Приоритет</w:t>
            </w:r>
          </w:p>
        </w:tc>
        <w:tc>
          <w:tcPr>
            <w:tcBorders>
              <w:top w:val="single" w:color="26211F" w:sz="12"/>
              <w:left w:val="nil"/>
              <w:bottom w:val="single" w:color="26211F" w:sz="12"/>
              <w:right w:val="nil"/>
            </w:tcBorders>
            <w:shd w:fill="E8E2DC" w:val="clear"/>
            <w:vAlign w:val="center"/>
          </w:tcPr>
          <w:p>
            <w:pPr>
              <w:jc w:val="center"/>
            </w:pPr>
            <w:r>
              <w:rPr>
                <w:b/>
                <w:bCs/>
                <w:color w:val="26211F"/>
                <w:sz w:val="20"/>
                <w:szCs w:val="20"/>
              </w:rPr>
              <w:t xml:space="preserve">Тип элемента</w:t>
            </w:r>
          </w:p>
        </w:tc>
        <w:tc>
          <w:tcPr>
            <w:tcBorders>
              <w:top w:val="single" w:color="26211F" w:sz="12"/>
              <w:left w:val="nil"/>
              <w:bottom w:val="single" w:color="26211F" w:sz="12"/>
              <w:right w:val="nil"/>
            </w:tcBorders>
            <w:shd w:fill="E8E2DC" w:val="clear"/>
            <w:vAlign w:val="center"/>
          </w:tcPr>
          <w:p>
            <w:pPr>
              <w:jc w:val="center"/>
            </w:pPr>
            <w:r>
              <w:rPr>
                <w:b/>
                <w:bCs/>
                <w:color w:val="26211F"/>
                <w:sz w:val="20"/>
                <w:szCs w:val="20"/>
              </w:rPr>
              <w:t xml:space="preserve">Статус</w:t>
            </w:r>
          </w:p>
        </w:tc>
      </w:tr>
      <w:tr>
        <w:tc>
          <w:tcPr>
            <w:tcBorders>
              <w:top w:val="single" w:color="26211F" w:sz="12"/>
              <w:left w:val="nil"/>
              <w:bottom w:val="single" w:color="26211F" w:sz="12"/>
              <w:right w:val="nil"/>
            </w:tcBorders>
          </w:tcPr>
          <w:p>
            <w:pPr>
              <w:jc w:val="center"/>
            </w:pPr>
            <w:r>
              <w:rPr>
                <w:color w:val="3D3735"/>
                <w:sz w:val="20"/>
                <w:szCs w:val="20"/>
              </w:rPr>
              <w:t xml:space="preserve">КТП (текущий)</w:t>
            </w:r>
          </w:p>
        </w:tc>
        <w:tc>
          <w:tcPr>
            <w:tcBorders>
              <w:top w:val="single" w:color="26211F" w:sz="12"/>
              <w:left w:val="nil"/>
              <w:bottom w:val="single" w:color="26211F" w:sz="12"/>
              <w:right w:val="nil"/>
            </w:tcBorders>
          </w:tcPr>
          <w:p>
            <w:pPr>
              <w:jc w:val="center"/>
            </w:pPr>
            <w:r>
              <w:rPr>
                <w:color w:val="3D3735"/>
                <w:sz w:val="20"/>
                <w:szCs w:val="20"/>
              </w:rPr>
              <w:t xml:space="preserve">Высокий</w:t>
            </w:r>
          </w:p>
        </w:tc>
        <w:tc>
          <w:tcPr>
            <w:tcBorders>
              <w:top w:val="single" w:color="26211F" w:sz="12"/>
              <w:left w:val="nil"/>
              <w:bottom w:val="single" w:color="26211F" w:sz="12"/>
              <w:right w:val="nil"/>
            </w:tcBorders>
          </w:tcPr>
          <w:p>
            <w:pPr>
              <w:jc w:val="center"/>
            </w:pPr>
            <w:r>
              <w:rPr>
                <w:color w:val="3D3735"/>
                <w:sz w:val="20"/>
                <w:szCs w:val="20"/>
              </w:rPr>
              <w:t xml:space="preserve">Полный блок</w:t>
            </w:r>
          </w:p>
        </w:tc>
        <w:tc>
          <w:tcPr>
            <w:tcBorders>
              <w:top w:val="single" w:color="26211F" w:sz="12"/>
              <w:left w:val="nil"/>
              <w:bottom w:val="single" w:color="26211F" w:sz="12"/>
              <w:right w:val="nil"/>
            </w:tcBorders>
          </w:tcPr>
          <w:p>
            <w:pPr>
              <w:jc w:val="center"/>
            </w:pPr>
            <w:r>
              <w:rPr>
                <w:color w:val="C19A6B"/>
                <w:sz w:val="20"/>
                <w:szCs w:val="20"/>
              </w:rPr>
              <w:t xml:space="preserve">Уже размещён</w:t>
            </w:r>
          </w:p>
        </w:tc>
      </w:tr>
      <w:tr>
        <w:tc>
          <w:tcPr>
            <w:tcBorders>
              <w:top w:val="single" w:color="26211F" w:sz="12"/>
              <w:left w:val="nil"/>
              <w:bottom w:val="single" w:color="26211F" w:sz="12"/>
              <w:right w:val="nil"/>
            </w:tcBorders>
          </w:tcPr>
          <w:p>
            <w:pPr>
              <w:jc w:val="center"/>
            </w:pPr>
            <w:r>
              <w:rPr>
                <w:color w:val="3D3735"/>
                <w:sz w:val="20"/>
                <w:szCs w:val="20"/>
              </w:rPr>
              <w:t xml:space="preserve">Трансформаторы масляные</w:t>
            </w:r>
          </w:p>
        </w:tc>
        <w:tc>
          <w:tcPr>
            <w:tcBorders>
              <w:top w:val="single" w:color="26211F" w:sz="12"/>
              <w:left w:val="nil"/>
              <w:bottom w:val="single" w:color="26211F" w:sz="12"/>
              <w:right w:val="nil"/>
            </w:tcBorders>
          </w:tcPr>
          <w:p>
            <w:pPr>
              <w:jc w:val="center"/>
            </w:pPr>
            <w:r>
              <w:rPr>
                <w:color w:val="3D3735"/>
                <w:sz w:val="20"/>
                <w:szCs w:val="20"/>
              </w:rPr>
              <w:t xml:space="preserve">Высокий</w:t>
            </w:r>
          </w:p>
        </w:tc>
        <w:tc>
          <w:tcPr>
            <w:tcBorders>
              <w:top w:val="single" w:color="26211F" w:sz="12"/>
              <w:left w:val="nil"/>
              <w:bottom w:val="single" w:color="26211F" w:sz="12"/>
              <w:right w:val="nil"/>
            </w:tcBorders>
          </w:tcPr>
          <w:p>
            <w:pPr>
              <w:jc w:val="center"/>
            </w:pPr>
            <w:r>
              <w:rPr>
                <w:color w:val="3D3735"/>
                <w:sz w:val="20"/>
                <w:szCs w:val="20"/>
              </w:rPr>
              <w:t xml:space="preserve">Компактный блок</w:t>
            </w:r>
          </w:p>
        </w:tc>
        <w:tc>
          <w:tcPr>
            <w:tcBorders>
              <w:top w:val="single" w:color="26211F" w:sz="12"/>
              <w:left w:val="nil"/>
              <w:bottom w:val="single" w:color="26211F" w:sz="12"/>
              <w:right w:val="nil"/>
            </w:tcBorders>
          </w:tcPr>
          <w:p>
            <w:pPr>
              <w:jc w:val="center"/>
            </w:pPr>
            <w:r>
              <w:rPr>
                <w:color w:val="CC6600"/>
                <w:sz w:val="20"/>
                <w:szCs w:val="20"/>
              </w:rPr>
              <w:t xml:space="preserve">Требуется</w:t>
            </w:r>
          </w:p>
        </w:tc>
      </w:tr>
      <w:tr>
        <w:tc>
          <w:tcPr>
            <w:tcBorders>
              <w:top w:val="single" w:color="26211F" w:sz="12"/>
              <w:left w:val="nil"/>
              <w:bottom w:val="single" w:color="26211F" w:sz="12"/>
              <w:right w:val="nil"/>
            </w:tcBorders>
          </w:tcPr>
          <w:p>
            <w:pPr>
              <w:jc w:val="center"/>
            </w:pPr>
            <w:r>
              <w:rPr>
                <w:color w:val="3D3735"/>
                <w:sz w:val="20"/>
                <w:szCs w:val="20"/>
              </w:rPr>
              <w:t xml:space="preserve">Трансформаторы сухие</w:t>
            </w:r>
          </w:p>
        </w:tc>
        <w:tc>
          <w:tcPr>
            <w:tcBorders>
              <w:top w:val="single" w:color="26211F" w:sz="12"/>
              <w:left w:val="nil"/>
              <w:bottom w:val="single" w:color="26211F" w:sz="12"/>
              <w:right w:val="nil"/>
            </w:tcBorders>
          </w:tcPr>
          <w:p>
            <w:pPr>
              <w:jc w:val="center"/>
            </w:pPr>
            <w:r>
              <w:rPr>
                <w:color w:val="3D3735"/>
                <w:sz w:val="20"/>
                <w:szCs w:val="20"/>
              </w:rPr>
              <w:t xml:space="preserve">Высокий</w:t>
            </w:r>
          </w:p>
        </w:tc>
        <w:tc>
          <w:tcPr>
            <w:tcBorders>
              <w:top w:val="single" w:color="26211F" w:sz="12"/>
              <w:left w:val="nil"/>
              <w:bottom w:val="single" w:color="26211F" w:sz="12"/>
              <w:right w:val="nil"/>
            </w:tcBorders>
          </w:tcPr>
          <w:p>
            <w:pPr>
              <w:jc w:val="center"/>
            </w:pPr>
            <w:r>
              <w:rPr>
                <w:color w:val="3D3735"/>
                <w:sz w:val="20"/>
                <w:szCs w:val="20"/>
              </w:rPr>
              <w:t xml:space="preserve">Компактный блок</w:t>
            </w:r>
          </w:p>
        </w:tc>
        <w:tc>
          <w:tcPr>
            <w:tcBorders>
              <w:top w:val="single" w:color="26211F" w:sz="12"/>
              <w:left w:val="nil"/>
              <w:bottom w:val="single" w:color="26211F" w:sz="12"/>
              <w:right w:val="nil"/>
            </w:tcBorders>
          </w:tcPr>
          <w:p>
            <w:pPr>
              <w:jc w:val="center"/>
            </w:pPr>
            <w:r>
              <w:rPr>
                <w:color w:val="CC6600"/>
                <w:sz w:val="20"/>
                <w:szCs w:val="20"/>
              </w:rPr>
              <w:t xml:space="preserve">Требуется</w:t>
            </w:r>
          </w:p>
        </w:tc>
      </w:tr>
      <w:tr>
        <w:tc>
          <w:tcPr>
            <w:tcBorders>
              <w:top w:val="single" w:color="26211F" w:sz="12"/>
              <w:left w:val="nil"/>
              <w:bottom w:val="single" w:color="26211F" w:sz="12"/>
              <w:right w:val="nil"/>
            </w:tcBorders>
          </w:tcPr>
          <w:p>
            <w:pPr>
              <w:jc w:val="center"/>
            </w:pPr>
            <w:r>
              <w:rPr>
                <w:color w:val="3D3735"/>
                <w:sz w:val="20"/>
                <w:szCs w:val="20"/>
              </w:rPr>
              <w:t xml:space="preserve">Контакты</w:t>
            </w:r>
          </w:p>
        </w:tc>
        <w:tc>
          <w:tcPr>
            <w:tcBorders>
              <w:top w:val="single" w:color="26211F" w:sz="12"/>
              <w:left w:val="nil"/>
              <w:bottom w:val="single" w:color="26211F" w:sz="12"/>
              <w:right w:val="nil"/>
            </w:tcBorders>
          </w:tcPr>
          <w:p>
            <w:pPr>
              <w:jc w:val="center"/>
            </w:pPr>
            <w:r>
              <w:rPr>
                <w:color w:val="3D3735"/>
                <w:sz w:val="20"/>
                <w:szCs w:val="20"/>
              </w:rPr>
              <w:t xml:space="preserve">Высокий</w:t>
            </w:r>
          </w:p>
        </w:tc>
        <w:tc>
          <w:tcPr>
            <w:tcBorders>
              <w:top w:val="single" w:color="26211F" w:sz="12"/>
              <w:left w:val="nil"/>
              <w:bottom w:val="single" w:color="26211F" w:sz="12"/>
              <w:right w:val="nil"/>
            </w:tcBorders>
          </w:tcPr>
          <w:p>
            <w:pPr>
              <w:jc w:val="center"/>
            </w:pPr>
            <w:r>
              <w:rPr>
                <w:color w:val="3D3735"/>
                <w:sz w:val="20"/>
                <w:szCs w:val="20"/>
              </w:rPr>
              <w:t xml:space="preserve">Средний блок</w:t>
            </w:r>
          </w:p>
        </w:tc>
        <w:tc>
          <w:tcPr>
            <w:tcBorders>
              <w:top w:val="single" w:color="26211F" w:sz="12"/>
              <w:left w:val="nil"/>
              <w:bottom w:val="single" w:color="26211F" w:sz="12"/>
              <w:right w:val="nil"/>
            </w:tcBorders>
          </w:tcPr>
          <w:p>
            <w:pPr>
              <w:jc w:val="center"/>
            </w:pPr>
            <w:r>
              <w:rPr>
                <w:color w:val="CC6600"/>
                <w:sz w:val="20"/>
                <w:szCs w:val="20"/>
              </w:rPr>
              <w:t xml:space="preserve">Требуется</w:t>
            </w:r>
          </w:p>
        </w:tc>
      </w:tr>
      <w:tr>
        <w:tc>
          <w:tcPr>
            <w:tcBorders>
              <w:top w:val="single" w:color="26211F" w:sz="12"/>
              <w:left w:val="nil"/>
              <w:bottom w:val="single" w:color="26211F" w:sz="12"/>
              <w:right w:val="nil"/>
            </w:tcBorders>
          </w:tcPr>
          <w:p>
            <w:pPr>
              <w:jc w:val="center"/>
            </w:pPr>
            <w:r>
              <w:rPr>
                <w:color w:val="3D3735"/>
                <w:sz w:val="20"/>
                <w:szCs w:val="20"/>
              </w:rPr>
              <w:t xml:space="preserve">Главная страница</w:t>
            </w:r>
          </w:p>
        </w:tc>
        <w:tc>
          <w:tcPr>
            <w:tcBorders>
              <w:top w:val="single" w:color="26211F" w:sz="12"/>
              <w:left w:val="nil"/>
              <w:bottom w:val="single" w:color="26211F" w:sz="12"/>
              <w:right w:val="nil"/>
            </w:tcBorders>
          </w:tcPr>
          <w:p>
            <w:pPr>
              <w:jc w:val="center"/>
            </w:pPr>
            <w:r>
              <w:rPr>
                <w:color w:val="3D3735"/>
                <w:sz w:val="20"/>
                <w:szCs w:val="20"/>
              </w:rPr>
              <w:t xml:space="preserve">Средний</w:t>
            </w:r>
          </w:p>
        </w:tc>
        <w:tc>
          <w:tcPr>
            <w:tcBorders>
              <w:top w:val="single" w:color="26211F" w:sz="12"/>
              <w:left w:val="nil"/>
              <w:bottom w:val="single" w:color="26211F" w:sz="12"/>
              <w:right w:val="nil"/>
            </w:tcBorders>
          </w:tcPr>
          <w:p>
            <w:pPr>
              <w:jc w:val="center"/>
            </w:pPr>
            <w:r>
              <w:rPr>
                <w:color w:val="3D3735"/>
                <w:sz w:val="20"/>
                <w:szCs w:val="20"/>
              </w:rPr>
              <w:t xml:space="preserve">Средний блок</w:t>
            </w:r>
          </w:p>
        </w:tc>
        <w:tc>
          <w:tcPr>
            <w:tcBorders>
              <w:top w:val="single" w:color="26211F" w:sz="12"/>
              <w:left w:val="nil"/>
              <w:bottom w:val="single" w:color="26211F" w:sz="12"/>
              <w:right w:val="nil"/>
            </w:tcBorders>
          </w:tcPr>
          <w:p>
            <w:pPr>
              <w:jc w:val="center"/>
            </w:pPr>
            <w:r>
              <w:rPr>
                <w:color w:val="6B6361"/>
                <w:sz w:val="20"/>
                <w:szCs w:val="20"/>
              </w:rPr>
              <w:t xml:space="preserve">Рекомендуется</w:t>
            </w:r>
          </w:p>
        </w:tc>
      </w:tr>
      <w:tr>
        <w:tc>
          <w:tcPr>
            <w:tcBorders>
              <w:top w:val="single" w:color="26211F" w:sz="12"/>
              <w:left w:val="nil"/>
              <w:bottom w:val="single" w:color="26211F" w:sz="12"/>
              <w:right w:val="nil"/>
            </w:tcBorders>
          </w:tcPr>
          <w:p>
            <w:pPr>
              <w:jc w:val="center"/>
            </w:pPr>
            <w:r>
              <w:rPr>
                <w:color w:val="3D3735"/>
                <w:sz w:val="20"/>
                <w:szCs w:val="20"/>
              </w:rPr>
              <w:t xml:space="preserve">Главное меню</w:t>
            </w:r>
          </w:p>
        </w:tc>
        <w:tc>
          <w:tcPr>
            <w:tcBorders>
              <w:top w:val="single" w:color="26211F" w:sz="12"/>
              <w:left w:val="nil"/>
              <w:bottom w:val="single" w:color="26211F" w:sz="12"/>
              <w:right w:val="nil"/>
            </w:tcBorders>
          </w:tcPr>
          <w:p>
            <w:pPr>
              <w:jc w:val="center"/>
            </w:pPr>
            <w:r>
              <w:rPr>
                <w:color w:val="3D3735"/>
                <w:sz w:val="20"/>
                <w:szCs w:val="20"/>
              </w:rPr>
              <w:t xml:space="preserve">Средний</w:t>
            </w:r>
          </w:p>
        </w:tc>
        <w:tc>
          <w:tcPr>
            <w:tcBorders>
              <w:top w:val="single" w:color="26211F" w:sz="12"/>
              <w:left w:val="nil"/>
              <w:bottom w:val="single" w:color="26211F" w:sz="12"/>
              <w:right w:val="nil"/>
            </w:tcBorders>
          </w:tcPr>
          <w:p>
            <w:pPr>
              <w:jc w:val="center"/>
            </w:pPr>
            <w:r>
              <w:rPr>
                <w:color w:val="3D3735"/>
                <w:sz w:val="20"/>
                <w:szCs w:val="20"/>
              </w:rPr>
              <w:t xml:space="preserve">Пункт меню</w:t>
            </w:r>
          </w:p>
        </w:tc>
        <w:tc>
          <w:tcPr>
            <w:tcBorders>
              <w:top w:val="single" w:color="26211F" w:sz="12"/>
              <w:left w:val="nil"/>
              <w:bottom w:val="single" w:color="26211F" w:sz="12"/>
              <w:right w:val="nil"/>
            </w:tcBorders>
          </w:tcPr>
          <w:p>
            <w:pPr>
              <w:jc w:val="center"/>
            </w:pPr>
            <w:r>
              <w:rPr>
                <w:color w:val="6B6361"/>
                <w:sz w:val="20"/>
                <w:szCs w:val="20"/>
              </w:rPr>
              <w:t xml:space="preserve">Рекомендуется</w:t>
            </w:r>
          </w:p>
        </w:tc>
      </w:tr>
      <w:tr>
        <w:tc>
          <w:tcPr>
            <w:tcBorders>
              <w:top w:val="single" w:color="26211F" w:sz="12"/>
              <w:left w:val="nil"/>
              <w:bottom w:val="single" w:color="26211F" w:sz="12"/>
              <w:right w:val="nil"/>
            </w:tcBorders>
          </w:tcPr>
          <w:p>
            <w:pPr>
              <w:jc w:val="center"/>
            </w:pPr>
            <w:r>
              <w:rPr>
                <w:color w:val="3D3735"/>
                <w:sz w:val="20"/>
                <w:szCs w:val="20"/>
              </w:rPr>
              <w:t xml:space="preserve">Подвал сайта</w:t>
            </w:r>
          </w:p>
        </w:tc>
        <w:tc>
          <w:tcPr>
            <w:tcBorders>
              <w:top w:val="single" w:color="26211F" w:sz="12"/>
              <w:left w:val="nil"/>
              <w:bottom w:val="single" w:color="26211F" w:sz="12"/>
              <w:right w:val="nil"/>
            </w:tcBorders>
          </w:tcPr>
          <w:p>
            <w:pPr>
              <w:jc w:val="center"/>
            </w:pPr>
            <w:r>
              <w:rPr>
                <w:color w:val="3D3735"/>
                <w:sz w:val="20"/>
                <w:szCs w:val="20"/>
              </w:rPr>
              <w:t xml:space="preserve">Низкий</w:t>
            </w:r>
          </w:p>
        </w:tc>
        <w:tc>
          <w:tcPr>
            <w:tcBorders>
              <w:top w:val="single" w:color="26211F" w:sz="12"/>
              <w:left w:val="nil"/>
              <w:bottom w:val="single" w:color="26211F" w:sz="12"/>
              <w:right w:val="nil"/>
            </w:tcBorders>
          </w:tcPr>
          <w:p>
            <w:pPr>
              <w:jc w:val="center"/>
            </w:pPr>
            <w:r>
              <w:rPr>
                <w:color w:val="3D3735"/>
                <w:sz w:val="20"/>
                <w:szCs w:val="20"/>
              </w:rPr>
              <w:t xml:space="preserve">Текстовая ссылка</w:t>
            </w:r>
          </w:p>
        </w:tc>
        <w:tc>
          <w:tcPr>
            <w:tcBorders>
              <w:top w:val="single" w:color="26211F" w:sz="12"/>
              <w:left w:val="nil"/>
              <w:bottom w:val="single" w:color="26211F" w:sz="12"/>
              <w:right w:val="nil"/>
            </w:tcBorders>
          </w:tcPr>
          <w:p>
            <w:pPr>
              <w:jc w:val="center"/>
            </w:pPr>
            <w:r>
              <w:rPr>
                <w:color w:val="6B6361"/>
                <w:sz w:val="20"/>
                <w:szCs w:val="20"/>
              </w:rPr>
              <w:t xml:space="preserve">Рекомендуется</w:t>
            </w:r>
          </w:p>
        </w:tc>
      </w:tr>
      <w:tr>
        <w:tc>
          <w:tcPr>
            <w:tcBorders>
              <w:top w:val="single" w:color="26211F" w:sz="12"/>
              <w:left w:val="nil"/>
              <w:bottom w:val="single" w:color="26211F" w:sz="12"/>
              <w:right w:val="nil"/>
            </w:tcBorders>
          </w:tcPr>
          <w:p>
            <w:pPr>
              <w:jc w:val="center"/>
            </w:pPr>
            <w:r>
              <w:rPr>
                <w:color w:val="3D3735"/>
                <w:sz w:val="20"/>
                <w:szCs w:val="20"/>
              </w:rPr>
              <w:t xml:space="preserve">О компании</w:t>
            </w:r>
          </w:p>
        </w:tc>
        <w:tc>
          <w:tcPr>
            <w:tcBorders>
              <w:top w:val="single" w:color="26211F" w:sz="12"/>
              <w:left w:val="nil"/>
              <w:bottom w:val="single" w:color="26211F" w:sz="12"/>
              <w:right w:val="nil"/>
            </w:tcBorders>
          </w:tcPr>
          <w:p>
            <w:pPr>
              <w:jc w:val="center"/>
            </w:pPr>
            <w:r>
              <w:rPr>
                <w:color w:val="3D3735"/>
                <w:sz w:val="20"/>
                <w:szCs w:val="20"/>
              </w:rPr>
              <w:t xml:space="preserve">Низкий</w:t>
            </w:r>
          </w:p>
        </w:tc>
        <w:tc>
          <w:tcPr>
            <w:tcBorders>
              <w:top w:val="single" w:color="26211F" w:sz="12"/>
              <w:left w:val="nil"/>
              <w:bottom w:val="single" w:color="26211F" w:sz="12"/>
              <w:right w:val="nil"/>
            </w:tcBorders>
          </w:tcPr>
          <w:p>
            <w:pPr>
              <w:jc w:val="center"/>
            </w:pPr>
            <w:r>
              <w:rPr>
                <w:color w:val="3D3735"/>
                <w:sz w:val="20"/>
                <w:szCs w:val="20"/>
              </w:rPr>
              <w:t xml:space="preserve">Текстовая ссылка</w:t>
            </w:r>
          </w:p>
        </w:tc>
        <w:tc>
          <w:tcPr>
            <w:tcBorders>
              <w:top w:val="single" w:color="26211F" w:sz="12"/>
              <w:left w:val="nil"/>
              <w:bottom w:val="single" w:color="26211F" w:sz="12"/>
              <w:right w:val="nil"/>
            </w:tcBorders>
          </w:tcPr>
          <w:p>
            <w:pPr>
              <w:jc w:val="center"/>
            </w:pPr>
            <w:r>
              <w:rPr>
                <w:color w:val="6B6361"/>
                <w:sz w:val="20"/>
                <w:szCs w:val="20"/>
              </w:rPr>
              <w:t xml:space="preserve">Опционально</w:t>
            </w:r>
          </w:p>
        </w:tc>
      </w:tr>
      <w:tr>
        <w:tc>
          <w:tcPr>
            <w:tcBorders>
              <w:top w:val="single" w:color="26211F" w:sz="12"/>
              <w:left w:val="nil"/>
              <w:bottom w:val="single" w:color="26211F" w:sz="12"/>
              <w:right w:val="nil"/>
            </w:tcBorders>
          </w:tcPr>
          <w:p>
            <w:pPr>
              <w:jc w:val="center"/>
            </w:pPr>
            <w:r>
              <w:rPr>
                <w:color w:val="3D3735"/>
                <w:sz w:val="20"/>
                <w:szCs w:val="20"/>
              </w:rPr>
              <w:t xml:space="preserve">Шапка сайта</w:t>
            </w:r>
          </w:p>
        </w:tc>
        <w:tc>
          <w:tcPr>
            <w:tcBorders>
              <w:top w:val="single" w:color="26211F" w:sz="12"/>
              <w:left w:val="nil"/>
              <w:bottom w:val="single" w:color="26211F" w:sz="12"/>
              <w:right w:val="nil"/>
            </w:tcBorders>
          </w:tcPr>
          <w:p>
            <w:pPr>
              <w:jc w:val="center"/>
            </w:pPr>
            <w:r>
              <w:rPr>
                <w:color w:val="3D3735"/>
                <w:sz w:val="20"/>
                <w:szCs w:val="20"/>
              </w:rPr>
              <w:t xml:space="preserve">—</w:t>
            </w:r>
          </w:p>
        </w:tc>
        <w:tc>
          <w:tcPr>
            <w:tcBorders>
              <w:top w:val="single" w:color="26211F" w:sz="12"/>
              <w:left w:val="nil"/>
              <w:bottom w:val="single" w:color="26211F" w:sz="12"/>
              <w:right w:val="nil"/>
            </w:tcBorders>
          </w:tcPr>
          <w:p>
            <w:pPr>
              <w:jc w:val="center"/>
            </w:pPr>
            <w:r>
              <w:rPr>
                <w:color w:val="3D3735"/>
                <w:sz w:val="20"/>
                <w:szCs w:val="20"/>
              </w:rPr>
              <w:t xml:space="preserve">—</w:t>
            </w:r>
          </w:p>
        </w:tc>
        <w:tc>
          <w:tcPr>
            <w:tcBorders>
              <w:top w:val="single" w:color="26211F" w:sz="12"/>
              <w:left w:val="nil"/>
              <w:bottom w:val="single" w:color="26211F" w:sz="12"/>
              <w:right w:val="nil"/>
            </w:tcBorders>
          </w:tcPr>
          <w:p>
            <w:pPr>
              <w:jc w:val="center"/>
            </w:pPr>
            <w:r>
              <w:rPr>
                <w:color w:val="993333"/>
                <w:sz w:val="20"/>
                <w:szCs w:val="20"/>
              </w:rPr>
              <w:t xml:space="preserve">Не рекомендуется</w:t>
            </w:r>
          </w:p>
        </w:tc>
      </w:tr>
    </w:tbl>
    <w:p>
      <w:pPr>
        <w:spacing w:before="400"/>
      </w:pPr>
    </w:p>
    <w:p>
      <w:pPr>
        <w:pStyle w:val="Heading1"/>
      </w:pPr>
      <w:r>
        <w:t xml:space="preserve">8. Ожидаемый эффект</w:t>
      </w:r>
    </w:p>
    <w:p>
      <w:pPr>
        <w:spacing w:after="200"/>
      </w:pPr>
      <w:r>
        <w:rPr>
          <w:rFonts w:ascii="Times New Roman" w:cs="Times New Roman" w:eastAsia="Times New Roman" w:hAnsi="Times New Roman"/>
          <w:color w:val="3D3735"/>
          <w:sz w:val="24"/>
          <w:szCs w:val="24"/>
        </w:rPr>
        <w:t xml:space="preserve">Реализация предложенных рекомендаций позволит существенно увеличить количество генерируемых лидов через механизм скачивания опросных листов. При текущем размещении блока только в одном разделе КТП, расширение присутствия на страницы масляных и сухих трансформаторов обеспечит охват всех основных категорий продукции сайта.</w:t>
      </w:r>
    </w:p>
    <w:p>
      <w:pPr>
        <w:spacing w:after="200"/>
      </w:pPr>
      <w:r>
        <w:rPr>
          <w:rFonts w:ascii="Times New Roman" w:cs="Times New Roman" w:eastAsia="Times New Roman" w:hAnsi="Times New Roman"/>
          <w:color w:val="3D3735"/>
          <w:sz w:val="24"/>
          <w:szCs w:val="24"/>
        </w:rPr>
        <w:t xml:space="preserve">Дополнительное размещение на странице контактов и в главной навигации обеспечит доступ к опросным листам для пользователей на любой стадии принятия решения о покупке. Сквозное присутствие в меню и подвале создаст периферийное знание о наличии данного инструмента, что повысит вероятность его использования при повторных посещениях сайта.</w:t>
      </w:r>
    </w:p>
    <w:p>
      <w:pPr>
        <w:spacing w:after="200"/>
      </w:pPr>
      <w:r>
        <w:rPr>
          <w:rFonts w:ascii="Times New Roman" w:cs="Times New Roman" w:eastAsia="Times New Roman" w:hAnsi="Times New Roman"/>
          <w:color w:val="3D3735"/>
          <w:sz w:val="24"/>
          <w:szCs w:val="24"/>
        </w:rPr>
        <w:t xml:space="preserve">Применение адаптированных вариантов дизайна для различных мест размещения позволит сохранить визуальную целостность сайта при эффективном использовании доступного пространства. Компактные блоки не будут перегружать страницы категорий, при этом оставаясь достаточно заметными для привлечения внимания целевой аудитории.</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361"/>
        <w:sz w:val="20"/>
        <w:szCs w:val="20"/>
      </w:rPr>
      <w:t xml:space="preserve">— </w:t>
    </w:r>
    <w:r>
      <w:rPr>
        <w:color w:val="6B6361"/>
        <w:sz w:val="20"/>
        <w:szCs w:val="20"/>
      </w:rPr>
      <w:fldChar w:fldCharType="begin"/>
      <w:instrText xml:space="preserve">PAGE</w:instrText>
      <w:fldChar w:fldCharType="separate"/>
      <w:fldChar w:fldCharType="end"/>
    </w:r>
    <w:r>
      <w:rPr>
        <w:color w:val="6B6361"/>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B6361"/>
        <w:sz w:val="18"/>
        <w:szCs w:val="18"/>
      </w:rPr>
      <w:t xml:space="preserve">Масштабирование конверсионного элемента | всетрансформаторы.рф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3"/>
    <w:lvlOverride w:ilvl="0">
      <w:startOverride w:val="1"/>
    </w:lvlOverride>
  </w:num>
  <w:num w:numId="5">
    <w:abstractNumId w:val="4"/>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26211F"/>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26211F"/>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6B6361"/>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3D37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2026-03-19T12:01:30.053Z</dcterms:created>
  <dcterms:modified xsi:type="dcterms:W3CDTF">2026-03-19T12:01:30.053Z</dcterms:modified>
</cp:coreProperties>
</file>

<file path=docProps/custom.xml><?xml version="1.0" encoding="utf-8"?>
<Properties xmlns="http://schemas.openxmlformats.org/officeDocument/2006/custom-properties" xmlns:vt="http://schemas.openxmlformats.org/officeDocument/2006/docPropsVTypes"/>
</file>