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C59" w14:textId="77777777" w:rsidR="00C822D3" w:rsidRDefault="00C822D3" w:rsidP="00046C60"/>
    <w:p w14:paraId="66F20271" w14:textId="3F5B6695" w:rsidR="00C822D3" w:rsidRDefault="00C822D3" w:rsidP="008A2388">
      <w:pPr>
        <w:jc w:val="both"/>
      </w:pPr>
      <w:r>
        <w:t xml:space="preserve">Atue como um Arquiteto de Software Sênior e Engenheiro Backend especialista em Sistemas ERP e Legislação Fiscal Brasileira. </w:t>
      </w:r>
    </w:p>
    <w:p w14:paraId="5F398A79" w14:textId="307B2A23" w:rsidR="00C822D3" w:rsidRDefault="00C822D3" w:rsidP="008A2388">
      <w:pPr>
        <w:jc w:val="both"/>
      </w:pPr>
      <w:r>
        <w:t>Preciso que você desenhe e implemente o backend (camada de domínio, serviços e contratos) para o módulo "Lançamento de Documentos Fiscais". Siga estritamente as regras de negócio, padrões de projeto e requisitos técnicos descritos abaixo:</w:t>
      </w:r>
    </w:p>
    <w:p w14:paraId="43BDECC8" w14:textId="000C498D" w:rsidR="00C822D3" w:rsidRDefault="00C822D3" w:rsidP="008A2388">
      <w:pPr>
        <w:jc w:val="both"/>
      </w:pPr>
      <w:r>
        <w:t>---</w:t>
      </w:r>
    </w:p>
    <w:p w14:paraId="68318E0B" w14:textId="77777777" w:rsidR="00C822D3" w:rsidRDefault="00C822D3" w:rsidP="008A2388">
      <w:pPr>
        <w:jc w:val="both"/>
      </w:pPr>
      <w:r>
        <w:t>### 1. REQUISITOS ESCOPO (REFORMA TRIBUTÁRIA &amp; RETENÇÕES)</w:t>
      </w:r>
    </w:p>
    <w:p w14:paraId="50233095" w14:textId="77777777" w:rsidR="00C822D3" w:rsidRDefault="00C822D3" w:rsidP="008A2388">
      <w:pPr>
        <w:jc w:val="both"/>
      </w:pPr>
      <w:r>
        <w:t>O sistema deve aceitar a estrutura dos novos documentos fiscais da Reforma Tributária (Emenda Constitucional 132/2023), além de prever os campos essenciais de retenção na fonte.</w:t>
      </w:r>
    </w:p>
    <w:p w14:paraId="710BB63E" w14:textId="2FC2D960" w:rsidR="00C822D3" w:rsidRDefault="00C822D3" w:rsidP="008A2388">
      <w:pPr>
        <w:jc w:val="both"/>
      </w:pPr>
      <w:r>
        <w:t xml:space="preserve">- **Documentos Suportados:** CBS (Contribuição sobre Bens e Serviços), IBS (Imposto sobre Bens e Serviços), Imposto Seletivo (IS), além dos modelos tradicionais de transição (NF-e, NFS-e Nacional, CT-e (Mod. 57), CT-e OS (Mod. 67), MDF-e (Mod. 58), BP-e (Mod. 63), GTV-e (Mod. 64), NF3-e (Mod. 66), NFS-e Via (Pedágios) e DC-e (Mod. 99), </w:t>
      </w:r>
      <w:r w:rsidRPr="000C0FEB">
        <w:t>Guia de Transporte de Valores Eletrônica – GTV-e</w:t>
      </w:r>
      <w:r>
        <w:t xml:space="preserve">, </w:t>
      </w:r>
      <w:r w:rsidRPr="000C0FEB">
        <w:t>NFC-e</w:t>
      </w:r>
      <w:r>
        <w:t xml:space="preserve">, </w:t>
      </w:r>
      <w:r w:rsidRPr="000C0FEB">
        <w:t>Nota Fiscal Fatura de Serviços de Comunicação Eletrônica – NFCom</w:t>
      </w:r>
      <w:r>
        <w:t xml:space="preserve">, </w:t>
      </w:r>
      <w:r w:rsidRPr="000C0FEB">
        <w:t>Nota Fiscal Eletrônica de Alienação de Bens Imóveis – NF-e ABI</w:t>
      </w:r>
      <w:r>
        <w:t xml:space="preserve">, </w:t>
      </w:r>
      <w:r w:rsidRPr="000C0FEB">
        <w:t>Nota Fiscal de Água e Saneamento Eletrônica – NFAg</w:t>
      </w:r>
      <w:r>
        <w:t xml:space="preserve">, </w:t>
      </w:r>
      <w:r w:rsidRPr="000C0FEB">
        <w:t>Nota Fiscal Eletrônica do Gás – NFGas</w:t>
      </w:r>
      <w:r>
        <w:t>.) se necessário.</w:t>
      </w:r>
    </w:p>
    <w:p w14:paraId="695B5ADD" w14:textId="77777777" w:rsidR="00C822D3" w:rsidRDefault="00C822D3" w:rsidP="008A2388">
      <w:pPr>
        <w:jc w:val="both"/>
      </w:pPr>
      <w:r>
        <w:t>- **Campos de Retenções Exigidos:**</w:t>
      </w:r>
    </w:p>
    <w:p w14:paraId="70B9B151" w14:textId="77777777" w:rsidR="00C822D3" w:rsidRDefault="00C822D3" w:rsidP="008A2388">
      <w:pPr>
        <w:jc w:val="both"/>
      </w:pPr>
      <w:r>
        <w:t xml:space="preserve">  - **Federais:** IRRF, CSLL, PIS, COFINS (ou a retenção unificada de CBS, conforme regulamentação).</w:t>
      </w:r>
    </w:p>
    <w:p w14:paraId="1ED452E2" w14:textId="77777777" w:rsidR="00C822D3" w:rsidRDefault="00C822D3" w:rsidP="008A2388">
      <w:pPr>
        <w:jc w:val="both"/>
      </w:pPr>
      <w:r>
        <w:t xml:space="preserve">  - **Municipais/Estaduais:** ISS (se aplicável na transição) ou retenção na fonte de IBS.</w:t>
      </w:r>
    </w:p>
    <w:p w14:paraId="0BBA6170" w14:textId="726E489D" w:rsidR="00C822D3" w:rsidRDefault="00C822D3" w:rsidP="008A2388">
      <w:pPr>
        <w:jc w:val="both"/>
      </w:pPr>
      <w:r>
        <w:t xml:space="preserve">  - **Previdenciárias:** INSS Retido (Lei 9.711/98).</w:t>
      </w:r>
    </w:p>
    <w:p w14:paraId="00DFAC0F" w14:textId="0BE49731" w:rsidR="00C822D3" w:rsidRDefault="00C822D3" w:rsidP="008A2388">
      <w:pPr>
        <w:jc w:val="both"/>
      </w:pPr>
      <w:r>
        <w:t>---</w:t>
      </w:r>
    </w:p>
    <w:p w14:paraId="1FD862F0" w14:textId="77777777" w:rsidR="00C822D3" w:rsidRDefault="00C822D3" w:rsidP="008A2388">
      <w:pPr>
        <w:jc w:val="both"/>
      </w:pPr>
      <w:r>
        <w:t>### 2. ARQUITETURA DE SOFTWARE &amp; DESIGN PATTERNS</w:t>
      </w:r>
    </w:p>
    <w:p w14:paraId="4B586076" w14:textId="77777777" w:rsidR="00C822D3" w:rsidRDefault="00C822D3" w:rsidP="008A2388">
      <w:pPr>
        <w:jc w:val="both"/>
      </w:pPr>
      <w:r>
        <w:t>Para desacoplar a geração de lançamentos contábeis, implemente o **Strategy Pattern**.</w:t>
      </w:r>
    </w:p>
    <w:p w14:paraId="18797AF4" w14:textId="77777777" w:rsidR="00C822D3" w:rsidRDefault="00C822D3" w:rsidP="008A2388">
      <w:pPr>
        <w:jc w:val="both"/>
      </w:pPr>
      <w:r>
        <w:t>- Cada tipo/modelo de documento fiscal (Ex: NF-e de Compra de Mercadoria, NFS-e de Serviço Tomado, Documento com CBS/IBS retido) deve possuir sua própria estratégia de contabilização.</w:t>
      </w:r>
    </w:p>
    <w:p w14:paraId="076EA9FA" w14:textId="77777777" w:rsidR="00C822D3" w:rsidRDefault="00C822D3" w:rsidP="008A2388">
      <w:pPr>
        <w:jc w:val="both"/>
      </w:pPr>
      <w:r>
        <w:t>- Deve existir uma interface comum `InterfaceContabilizacaoStrategy` com um método como `gerarLancamento(DocumentoFiscal documento)`.</w:t>
      </w:r>
    </w:p>
    <w:p w14:paraId="0DC22D75" w14:textId="5B88E022" w:rsidR="00C822D3" w:rsidRDefault="00C822D3" w:rsidP="008A2388">
      <w:pPr>
        <w:jc w:val="both"/>
      </w:pPr>
      <w:r>
        <w:t>- Um `ContextoContabil` ou `Factory` deve ler o tipo de documento e disparar a estratégia correta.</w:t>
      </w:r>
    </w:p>
    <w:p w14:paraId="2F41DFFA" w14:textId="2D0B4E12" w:rsidR="00C822D3" w:rsidRDefault="00C822D3" w:rsidP="008A2388">
      <w:pPr>
        <w:jc w:val="both"/>
      </w:pPr>
      <w:r>
        <w:t>---</w:t>
      </w:r>
    </w:p>
    <w:p w14:paraId="0D3A38FD" w14:textId="77777777" w:rsidR="00C822D3" w:rsidRDefault="00C822D3" w:rsidP="008A2388">
      <w:pPr>
        <w:jc w:val="both"/>
      </w:pPr>
      <w:r>
        <w:t>### 3. REGRAS DA CONTABILIDADE (PARTIDA DOBRADA &amp; ANALÍTICA)</w:t>
      </w:r>
    </w:p>
    <w:p w14:paraId="0DA8FA1C" w14:textId="77777777" w:rsidR="00C822D3" w:rsidRDefault="00C822D3" w:rsidP="008A2388">
      <w:pPr>
        <w:jc w:val="both"/>
      </w:pPr>
      <w:r>
        <w:t>Os lançamentos gerados pelo Strategy devem seguir rigorosamente o método de **Partidas Dobradas**:</w:t>
      </w:r>
    </w:p>
    <w:p w14:paraId="268FC07E" w14:textId="77777777" w:rsidR="00C822D3" w:rsidRDefault="00C822D3" w:rsidP="008A2388">
      <w:pPr>
        <w:jc w:val="both"/>
      </w:pPr>
      <w:r>
        <w:t>- **Consistência:** A soma dos débitos deve ser estritamente igual à soma dos créditos para cada documento fiscal.</w:t>
      </w:r>
    </w:p>
    <w:p w14:paraId="73D85DB7" w14:textId="77777777" w:rsidR="00C822D3" w:rsidRDefault="00C822D3" w:rsidP="008A2388">
      <w:pPr>
        <w:jc w:val="both"/>
      </w:pPr>
      <w:r>
        <w:lastRenderedPageBreak/>
        <w:t>- **Contabilidade Analítica:** Não utilize contas genéricas/sintéticas. O sistema deve mapear o lançamento até o último nível do Plano de Contas (Subcontas analíticas).</w:t>
      </w:r>
    </w:p>
    <w:p w14:paraId="4E901B4F" w14:textId="77777777" w:rsidR="00C822D3" w:rsidRDefault="00C822D3" w:rsidP="008A2388">
      <w:pPr>
        <w:jc w:val="both"/>
      </w:pPr>
      <w:r>
        <w:t>- **Diferenciação por Modelo:** O mapeamento das contas de Débito (ex: Despesa, Ativo Imobilizado, Estoque) e Crédito (ex: Fornecedores a Pagar, Caixa) deve mudar dinamicamente dependendo do modelo do documento e do tipo de operação.</w:t>
      </w:r>
    </w:p>
    <w:p w14:paraId="54732CA2" w14:textId="25BEDA96" w:rsidR="00C822D3" w:rsidRDefault="00C822D3" w:rsidP="008A2388">
      <w:pPr>
        <w:jc w:val="both"/>
      </w:pPr>
      <w:r>
        <w:t>- **Centros de Custo:** Cada linha de débito/crédito analítica (onde aplicável, principalmente em contas de resultado/despesas) deve obrigatoriamente exigir ou calcular o vínculo com um ou mais Centros de Custo, rateados com base nos itens do documento fiscal.</w:t>
      </w:r>
    </w:p>
    <w:p w14:paraId="252DB9E3" w14:textId="25D4825D" w:rsidR="00C822D3" w:rsidRDefault="00C822D3" w:rsidP="008A2388">
      <w:pPr>
        <w:jc w:val="both"/>
      </w:pPr>
      <w:r>
        <w:t>---</w:t>
      </w:r>
    </w:p>
    <w:p w14:paraId="66410451" w14:textId="77777777" w:rsidR="00C822D3" w:rsidRDefault="00C822D3" w:rsidP="008A2388">
      <w:pPr>
        <w:jc w:val="both"/>
      </w:pPr>
      <w:r>
        <w:t>### 4. O QUE VOCÊ DEVE GERAR (ENTREGÁVEIS):</w:t>
      </w:r>
    </w:p>
    <w:p w14:paraId="705C90FB" w14:textId="6499E367" w:rsidR="00C822D3" w:rsidRDefault="00C822D3" w:rsidP="008A2388">
      <w:pPr>
        <w:jc w:val="both"/>
      </w:pPr>
      <w:r>
        <w:t>Por favor, forneça o código em [INSIRA A SUA LINGUAGEM AQUI - Ex: TypeScript / C# .NET / Java]:</w:t>
      </w:r>
    </w:p>
    <w:p w14:paraId="2A32E392" w14:textId="77777777" w:rsidR="00C822D3" w:rsidRDefault="00C822D3" w:rsidP="008A2388">
      <w:pPr>
        <w:jc w:val="both"/>
      </w:pPr>
      <w:r>
        <w:t>1. **Modelos de Entidade/DTOs:** `DocumentoFiscal`, `ItemDocumentoFiscal`, `Retencoes`, `LancamentoContabil`, `PartidaLancamento` (contendo ContaAnalitica, CentroDeCusto, Tipo [Debito/Credito] e Valor).</w:t>
      </w:r>
    </w:p>
    <w:p w14:paraId="7D513193" w14:textId="77777777" w:rsidR="00C822D3" w:rsidRDefault="00C822D3" w:rsidP="008A2388">
      <w:pPr>
        <w:jc w:val="both"/>
      </w:pPr>
      <w:r>
        <w:t>2. **Interface e Estratégias (Strategy Pattern):**</w:t>
      </w:r>
    </w:p>
    <w:p w14:paraId="2EE7D6EE" w14:textId="77777777" w:rsidR="00C822D3" w:rsidRDefault="00C822D3" w:rsidP="008A2388">
      <w:pPr>
        <w:jc w:val="both"/>
      </w:pPr>
      <w:r>
        <w:t xml:space="preserve">   - Definição da Interface da Estratégia.</w:t>
      </w:r>
    </w:p>
    <w:p w14:paraId="0F2D2C20" w14:textId="77777777" w:rsidR="00C822D3" w:rsidRDefault="00C822D3" w:rsidP="008A2388">
      <w:pPr>
        <w:jc w:val="both"/>
      </w:pPr>
      <w:r>
        <w:t xml:space="preserve">   - Pelo menos 2 exemplos práticos de classes que implementam a estratégia (Ex: `ContabilizacaoNFSeServicoStrategy` e `ContabilizacaoCbsIbsStrategy`).</w:t>
      </w:r>
    </w:p>
    <w:p w14:paraId="215904B2" w14:textId="7EB5DA67" w:rsidR="00C822D3" w:rsidRDefault="00C822D3" w:rsidP="008A2388">
      <w:pPr>
        <w:jc w:val="both"/>
      </w:pPr>
      <w:r>
        <w:t>3. **Classe de Contexto/Engine:** O motor que recebe o documento, encontra a estratégia correspondente, executa e valida se o Débito é igual ao Crédito antes de salvar.</w:t>
      </w:r>
    </w:p>
    <w:p w14:paraId="1DDDF02C" w14:textId="6F15F315" w:rsidR="00C822D3" w:rsidRDefault="00C822D3" w:rsidP="008A2388">
      <w:pPr>
        <w:jc w:val="both"/>
      </w:pPr>
      <w:r>
        <w:t>Escreva o código focando em DDD (Domain-Driven Design), tipagem forte, tratamento de exceções para desbalanço de partidas e clean code.</w:t>
      </w:r>
    </w:p>
    <w:p w14:paraId="2F46466A" w14:textId="77777777" w:rsidR="00C822D3" w:rsidRDefault="00C822D3" w:rsidP="008A2388">
      <w:pPr>
        <w:jc w:val="both"/>
      </w:pPr>
    </w:p>
    <w:sectPr w:rsidR="00C8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1B6"/>
    <w:rsid w:val="00046C60"/>
    <w:rsid w:val="000C0FEB"/>
    <w:rsid w:val="00531DE7"/>
    <w:rsid w:val="007E5DDE"/>
    <w:rsid w:val="008A2388"/>
    <w:rsid w:val="00904BDB"/>
    <w:rsid w:val="00C822D3"/>
    <w:rsid w:val="00D131B6"/>
    <w:rsid w:val="00FB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CFB9"/>
  <w15:chartTrackingRefBased/>
  <w15:docId w15:val="{03816612-16C9-43FA-ADA9-B75EA40F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612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Ivanildo SeC</dc:creator>
  <cp:keywords/>
  <dc:description/>
  <cp:lastModifiedBy>Ivanildo Oliveira dos Santos</cp:lastModifiedBy>
  <cp:revision>5</cp:revision>
  <dcterms:created xsi:type="dcterms:W3CDTF">2026-08-04T16:53:00Z</dcterms:created>
  <dcterms:modified xsi:type="dcterms:W3CDTF">2026-08-06T01:57:00Z</dcterms:modified>
</cp:coreProperties>
</file>