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</w:pPr>
      <w:r>
        <w:rPr>
          <w:rFonts w:ascii="SimHei" w:hAnsi="SimHei" w:eastAsia="SimHei"/>
          <w:b/>
          <w:color w:val="2E74B5"/>
          <w:sz w:val="20"/>
        </w:rPr>
        <w:t>PRODUCT REQUIREMENTS DOCUMENT</w:t>
      </w:r>
    </w:p>
    <w:p>
      <w:pPr>
        <w:spacing w:before="0" w:after="80" w:line="240" w:lineRule="auto"/>
      </w:pPr>
      <w:r>
        <w:rPr>
          <w:rFonts w:ascii="SimHei" w:hAnsi="SimHei" w:eastAsia="SimHei"/>
          <w:b/>
          <w:color w:val="0B2545"/>
          <w:sz w:val="48"/>
        </w:rPr>
        <w:t>ServicePilot 企业智能服务运营平台</w:t>
      </w:r>
    </w:p>
    <w:p>
      <w:pPr>
        <w:spacing w:before="0" w:after="320" w:line="264" w:lineRule="auto"/>
      </w:pPr>
      <w:r>
        <w:rPr>
          <w:rFonts w:ascii="SimHei" w:hAnsi="SimHei" w:eastAsia="SimHei"/>
          <w:b w:val="0"/>
          <w:color w:val="59636E"/>
          <w:sz w:val="28"/>
        </w:rPr>
        <w:t>角色工作台、可信知识治理与 Agent 服务闭环</w:t>
      </w:r>
    </w:p>
    <w:p>
      <w:pPr>
        <w:spacing w:before="0" w:after="40" w:line="252" w:lineRule="auto"/>
      </w:pPr>
      <w:r>
        <w:rPr>
          <w:rFonts w:ascii="SimHei" w:hAnsi="SimHei" w:eastAsia="SimHei"/>
          <w:b/>
          <w:color w:val="0B2545"/>
          <w:sz w:val="20"/>
        </w:rPr>
        <w:t>文档状态：</w:t>
      </w:r>
      <w:r>
        <w:rPr>
          <w:rFonts w:ascii="SimHei" w:hAnsi="SimHei" w:eastAsia="SimHei"/>
          <w:b w:val="0"/>
          <w:color w:val="59636E"/>
          <w:sz w:val="20"/>
        </w:rPr>
        <w:t>V1.1 - 真实客服闭环增量</w:t>
      </w:r>
    </w:p>
    <w:p>
      <w:pPr>
        <w:spacing w:before="0" w:after="40" w:line="252" w:lineRule="auto"/>
      </w:pPr>
      <w:r>
        <w:rPr>
          <w:rFonts w:ascii="SimHei" w:hAnsi="SimHei" w:eastAsia="SimHei"/>
          <w:b/>
          <w:color w:val="0B2545"/>
          <w:sz w:val="20"/>
        </w:rPr>
        <w:t>产品：</w:t>
      </w:r>
      <w:r>
        <w:rPr>
          <w:rFonts w:ascii="SimHei" w:hAnsi="SimHei" w:eastAsia="SimHei"/>
          <w:b w:val="0"/>
          <w:color w:val="59636E"/>
          <w:sz w:val="20"/>
        </w:rPr>
        <w:t>ServicePilot 企业智能服务运营平台</w:t>
      </w:r>
    </w:p>
    <w:p>
      <w:pPr>
        <w:spacing w:before="0" w:after="40" w:line="252" w:lineRule="auto"/>
      </w:pPr>
      <w:r>
        <w:rPr>
          <w:rFonts w:ascii="SimHei" w:hAnsi="SimHei" w:eastAsia="SimHei"/>
          <w:b/>
          <w:color w:val="0B2545"/>
          <w:sz w:val="20"/>
        </w:rPr>
        <w:t>文档负责人：</w:t>
      </w:r>
      <w:r>
        <w:rPr>
          <w:rFonts w:ascii="SimHei" w:hAnsi="SimHei" w:eastAsia="SimHei"/>
          <w:b w:val="0"/>
          <w:color w:val="59636E"/>
          <w:sz w:val="20"/>
        </w:rPr>
        <w:t>产品负责人（待指定）</w:t>
      </w:r>
    </w:p>
    <w:p>
      <w:pPr>
        <w:spacing w:before="0" w:after="40" w:line="252" w:lineRule="auto"/>
      </w:pPr>
      <w:r>
        <w:rPr>
          <w:rFonts w:ascii="SimHei" w:hAnsi="SimHei" w:eastAsia="SimHei"/>
          <w:b/>
          <w:color w:val="0B2545"/>
          <w:sz w:val="20"/>
        </w:rPr>
        <w:t>适用范围：</w:t>
      </w:r>
      <w:r>
        <w:rPr>
          <w:rFonts w:ascii="SimHei" w:hAnsi="SimHei" w:eastAsia="SimHei"/>
          <w:b w:val="0"/>
          <w:color w:val="59636E"/>
          <w:sz w:val="20"/>
        </w:rPr>
        <w:t>青屿商城生产空间 + ServicePilot 沙箱</w:t>
      </w:r>
    </w:p>
    <w:p>
      <w:pPr>
        <w:spacing w:before="0" w:after="40" w:line="252" w:lineRule="auto"/>
      </w:pPr>
      <w:r>
        <w:rPr>
          <w:rFonts w:ascii="SimHei" w:hAnsi="SimHei" w:eastAsia="SimHei"/>
          <w:b/>
          <w:color w:val="0B2545"/>
          <w:sz w:val="20"/>
        </w:rPr>
        <w:t>最后更新：</w:t>
      </w:r>
      <w:r>
        <w:rPr>
          <w:rFonts w:ascii="SimHei" w:hAnsi="SimHei" w:eastAsia="SimHei"/>
          <w:b w:val="0"/>
          <w:color w:val="59636E"/>
          <w:sz w:val="20"/>
        </w:rPr>
        <w:t>2026-08-17</w:t>
      </w:r>
    </w:p>
    <w:p>
      <w:pPr>
        <w:spacing w:before="0" w:after="40" w:line="252" w:lineRule="auto"/>
      </w:pPr>
      <w:r>
        <w:rPr>
          <w:rFonts w:ascii="SimHei" w:hAnsi="SimHei" w:eastAsia="SimHei"/>
          <w:b/>
          <w:color w:val="0B2545"/>
          <w:sz w:val="20"/>
        </w:rPr>
        <w:t>维护规则：</w:t>
      </w:r>
      <w:r>
        <w:rPr>
          <w:rFonts w:ascii="SimHei" w:hAnsi="SimHei" w:eastAsia="SimHei"/>
          <w:b w:val="0"/>
          <w:color w:val="59636E"/>
          <w:sz w:val="20"/>
        </w:rPr>
        <w:t>每次功能范围、角色权限、指标或发布逻辑变更后同步更新本 PRD。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  <w:cantSplit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20"/>
              </w:rPr>
              <w:t>面向企业内部服务团队的 AI 服务运营平台：让每一次 Agent 回答都具备可信依据、明确边界、可追溯反馈和可控发布。</w:t>
            </w:r>
          </w:p>
        </w:tc>
      </w:tr>
    </w:tbl>
    <w:p>
      <w:pPr>
        <w:spacing w:after="80"/>
      </w:pPr>
    </w:p>
    <w:p>
      <w:pPr>
        <w:pStyle w:val="Heading2"/>
      </w:pPr>
      <w:r>
        <w:t>阅读说明</w:t>
      </w:r>
    </w:p>
    <w:p>
      <w:pPr>
        <w:spacing w:before="0" w:after="160" w:line="264" w:lineRule="auto"/>
      </w:pPr>
      <w:r>
        <w:rPr>
          <w:rFonts w:ascii="SimHei" w:hAnsi="SimHei" w:eastAsia="SimHei"/>
          <w:sz w:val="22"/>
        </w:rPr>
        <w:t>本 PRD 以当前已部署原型为基线，既记录现有能力，也定义下一阶段可上线产品需要满足的要求。界面中的演示数值仅用于说明信息架构与评测方式，不应被视为真实经营数据。</w:t>
      </w:r>
    </w:p>
    <w:p>
      <w:pPr>
        <w:spacing w:before="0" w:after="80" w:line="264" w:lineRule="auto"/>
      </w:pPr>
      <w:r>
        <w:rPr>
          <w:rFonts w:ascii="SimHei" w:hAnsi="SimHei" w:eastAsia="SimHei"/>
          <w:color w:val="59636E"/>
          <w:sz w:val="22"/>
        </w:rPr>
        <w:t>[Assumption] 当前尚未完成正式用户研究与真实生产埋点校验；所有目标值在试点前须由业务、数据和合规负责人确认。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before="0" w:after="120" w:line="264" w:lineRule="auto"/>
      </w:pPr>
      <w:r>
        <w:rPr>
          <w:rFonts w:ascii="SimHei" w:hAnsi="SimHei" w:eastAsia="SimHei"/>
          <w:sz w:val="22"/>
        </w:rPr>
        <w:t>ServicePilot 用于连接消费者咨询、企业知识、AI Agent、人工客服与治理流程。它解决的不是单一聊天机器人问题，而是企业在规模化使用生成式 AI 时常见的三类断裂：回答缺少依据、人工接管缺少上下文、优化没有闭环。产品以角色工作台组织工作：一线客服完成服务交付，主管控制风险与 SLA，知识运营维护可信内容，AI 运营改进模型与策略，系统管理员控制权限和审计。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  <w:cantSplit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FFFFFF"/>
                <w:sz w:val="18"/>
              </w:rPr>
              <w:t>本期决策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20"/>
              </w:rPr>
              <w:t>先以“问答 - 知识 - 评测 - 发布”闭环为核心，优先完善知识运营与 AI 运营；消费者端仅作为真实问答输入和服务结果验证，不作为后台主用户。</w:t>
            </w:r>
          </w:p>
        </w:tc>
      </w:tr>
    </w:tbl>
    <w:p>
      <w:pPr>
        <w:spacing w:after="80"/>
      </w:pPr>
    </w:p>
    <w:p>
      <w:pPr>
        <w:pStyle w:val="Heading1"/>
      </w:pPr>
      <w:r>
        <w:t>2. 背景与问题定义</w:t>
      </w:r>
    </w:p>
    <w:p>
      <w:pPr>
        <w:pStyle w:val="Heading2"/>
      </w:pPr>
      <w:r>
        <w:t>2.1 目标用户的问题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一线客服：接管 AI 失败或高风险会话时，往往需要反复查订单、规则和历史，用户被迫重复描述。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服务主管：难以及时发现 SLA 风险、知识错误和 AI 失败之间的关联，调度依赖人工经验。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知识运营：业务资料分散、版本冲突、责任不清，发布后无法证明回答是否真的改善。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AI 运营：无法快速判断失败来自意图识别、检索、知识、策略还是模型回答，优化容易只看单点指标。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企业治理方：需要控制谁能修改策略、查看敏感数据、发布知识，以及在出错时追溯完整链路。</w:t>
      </w:r>
    </w:p>
    <w:p>
      <w:pPr>
        <w:pStyle w:val="Heading2"/>
      </w:pPr>
      <w:r>
        <w:t>2.2 当前原型证据与限制</w:t>
      </w:r>
    </w:p>
    <w:p>
      <w:pPr>
        <w:spacing w:before="0" w:after="120" w:line="264" w:lineRule="auto"/>
      </w:pPr>
      <w:r>
        <w:rPr>
          <w:rFonts w:ascii="SimHei" w:hAnsi="SimHei" w:eastAsia="SimHei"/>
          <w:sz w:val="22"/>
        </w:rPr>
        <w:t>原型已实现角色登录选择、会话与工单协作、已发布知识引用、知识运营的测试/复核/灰度流程、质检评测、策略配置、权限与审计页面。本次增量将体验用户端的提问、Agent 回复、知识引用、会话状态和转人工任务写入持久化数据，并让客服工作台从数据库读取和更新会话。工作台指标和部分审批状态仍不代表完整生产数据。</w:t>
      </w:r>
    </w:p>
    <w:p>
      <w:pPr>
        <w:spacing w:before="0" w:after="120" w:line="264" w:lineRule="auto"/>
      </w:pPr>
      <w:r>
        <w:rPr>
          <w:rFonts w:ascii="SimHei" w:hAnsi="SimHei" w:eastAsia="SimHei"/>
          <w:color w:val="59636E"/>
          <w:sz w:val="22"/>
        </w:rPr>
        <w:t>[Open Question] 需要在试点前补充访谈、日志和业务指标，验证各角色的实际高频任务、决策权限与目标阈值。</w:t>
      </w:r>
    </w:p>
    <w:p>
      <w:pPr>
        <w:pStyle w:val="Heading1"/>
      </w:pPr>
      <w:r>
        <w:t>3. 产品目标、范围与非目标</w:t>
      </w:r>
    </w:p>
    <w:p>
      <w:pPr>
        <w:pStyle w:val="Heading2"/>
      </w:pPr>
      <w:r>
        <w:t>3.1 产品目标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让 Agent 的回答可追溯到已批准知识，并能识别不可自动处理的边界。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让人工客服在接管时获得完整上下文、可核验事实与可编辑建议。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让知识和策略变更必须经过测试、审批和可回退的发布流程。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让运营人员从失败案例回溯到知识、策略或服务流程，并形成可量化改进闭环。</w:t>
      </w:r>
    </w:p>
    <w:p>
      <w:pPr>
        <w:pStyle w:val="Heading2"/>
      </w:pPr>
      <w:r>
        <w:t>3.2 本期范围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企业登录、工作空间隔离、授权工作台选择与角色切换。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一线客服会话接管、上下文核验、AI 协助、工单协同、结案与知识引用。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服务主管运营总览、风险优先级、SLA 关注与跨角色协同入口。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知识运营工作队列、资产库、来源导入、冲突识别、回答验证、双人复核与灰度发布原型。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AI 运营质检评测、失败复核、策略中心、效果与成本分析。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系统管理员资源权限、安全审计和策略治理界面。</w:t>
      </w:r>
    </w:p>
    <w:p>
      <w:pPr>
        <w:pStyle w:val="Heading2"/>
      </w:pPr>
      <w:r>
        <w:t>3.3 非目标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不在本期直接替代订单、支付、物流、CRM 或工单底层系统。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不允许 Agent 无审批执行退款、赔付、账户或地址等高风险业务动作。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不在本期建设面向消费者的独立后台；消费者端仅承担问答输入和体验验证。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不将演示用测试、复核、灰度按钮描述为已持久化的企业审批系统。</w:t>
      </w:r>
    </w:p>
    <w:p>
      <w:pPr>
        <w:pStyle w:val="Heading1"/>
      </w:pPr>
      <w:r>
        <w:t>4. 用户、角色与权限模型</w:t>
      </w:r>
    </w:p>
    <w:p>
      <w:pPr>
        <w:spacing w:before="0" w:after="120" w:line="264" w:lineRule="auto"/>
      </w:pPr>
      <w:r>
        <w:rPr>
          <w:rFonts w:ascii="SimHei" w:hAnsi="SimHei" w:eastAsia="SimHei"/>
          <w:sz w:val="22"/>
        </w:rPr>
        <w:t>消费者是服务对象，不是本产品后台主用户。其咨询、凭证、满意度和追问构成改进闭环的输入。以下内部角色根据登录时的授权进入不同工作台。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4200"/>
        <w:gridCol w:w="21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核心目标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当前工作台与操作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一线客服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安全、高效地解决需要人工介入的问题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会话接管；查看订单/用户/AI 摘要；采用或编辑建议回复；建单、升级、结案；查询并引用生效知识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不可编辑知识、发布策略或绕过审批执行高风险业务动作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服务主管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控制服务质量、SLA 与高风险事项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运营总览；风险排序；工单分配/催办；查看服务趋势与跨角色协作记录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不直接替代知识或模型负责人进行内容/策略发布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知识运营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把可信资料变为可验证的 Agent 知识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缺口/冲突/复核队列；资产库；来源导入；内容边界；真实问法测试；双人复核；灰度发布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不决定模型路由；业务与合规审批不能被单人绕过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AI 运营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提高识别、检索、回答和路由质量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质检评测；失败复核；知识关联；策略配置；质量、成本与时延分析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不替代业务方定义规则，也不直接处理用户会话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系统管理员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保障权限、审计与生产变更可控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资源权限；安全审计；策略治理；权限冲突与到期复核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不拥有业务规则内容的最终解释权</w:t>
            </w:r>
          </w:p>
        </w:tc>
      </w:tr>
    </w:tbl>
    <w:p>
      <w:pPr>
        <w:spacing w:after="60"/>
      </w:pPr>
    </w:p>
    <w:p>
      <w:pPr>
        <w:spacing w:before="0" w:after="120" w:line="264" w:lineRule="auto"/>
      </w:pPr>
      <w:r>
        <w:rPr>
          <w:rFonts w:ascii="SimHei" w:hAnsi="SimHei" w:eastAsia="SimHei"/>
          <w:color w:val="59636E"/>
          <w:sz w:val="22"/>
        </w:rPr>
        <w:t>[Open Question] 业务规则负责人和合规审批人已在双人复核流程中出现，但尚未作为独立登录工作台实现；正式上线前需要明确其权限和审批责任。</w:t>
      </w:r>
    </w:p>
    <w:p>
      <w:pPr>
        <w:pStyle w:val="Heading1"/>
      </w:pPr>
      <w:r>
        <w:t>5. 端到端业务闭环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消费者发起咨询，Agent 识别意图、检索可信知识、执行风险校验并生成回答。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低置信度、高风险、需要身份核验或无法承诺的场景转交一线客服，并保留会话摘要、事实和知识版本。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一线客服处理、建单、升级或结案；其对建议、摘要和知识的反馈进入质检与治理队列。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服务主管按 SLA、风险和业务影响调度资源，并推动跨角色问题处理。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知识运营修复缺口与冲突；AI 运营定位评测失败并调整检索、模型或策略。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经过测试、双人复核和灰度观察后发布；管理员对权限和审计链路进行治理。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  <w:cantSplit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FFFFFF"/>
                <w:sz w:val="18"/>
              </w:rPr>
              <w:t>闭环原则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20"/>
              </w:rPr>
              <w:t>任何知识或策略变更都必须可定位来源、可验证回答、可审批发布、可观察影响、可回退。</w:t>
            </w:r>
          </w:p>
        </w:tc>
      </w:tr>
    </w:tbl>
    <w:p>
      <w:pPr>
        <w:spacing w:after="80"/>
      </w:pPr>
    </w:p>
    <w:p>
      <w:pPr>
        <w:pStyle w:val="Heading1"/>
      </w:pPr>
      <w:r>
        <w:t>6. 解决方案与功能需求</w:t>
      </w:r>
    </w:p>
    <w:p>
      <w:pPr>
        <w:pStyle w:val="Heading2"/>
      </w:pPr>
      <w:r>
        <w:t>6.1 登录、空间与角色工作台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700"/>
        <w:gridCol w:w="700"/>
        <w:gridCol w:w="411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FR-01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用户登录后选择企业空间，再选择已授权工作台；可记住选择并从账号菜单切换。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仅显示该空间的授权角色；切换角色后首页、导航和数据入口随角色变化；无授权角色不可进入。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FR-02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每个角色首页展示其目标、优先任务、关键指标和高频入口。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一线客服、主管、知识运营、AI 运营、管理员看到不同待办与导航；任务按影响/风险/时限组织。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FR-03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企业空间之间数据和授权隔离。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切换空间后，当前角色必须重新校验授权；界面明确展示空间与环境。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FR-04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消费者端真实提问创建可追溯会话，并保存用户消息、Agent 回复、知识引用和处理轨迹。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每次请求写入会话与消息；响应返回会话编号；不会只停留在前端状态。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FR-05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Agent 对低置信度、高风险或规则要求的请求生成转人工任务。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会话状态变为待接管；客服刷新或轮询后能看到用户原问、AI 回复、依据和摘要。</w:t>
            </w:r>
          </w:p>
        </w:tc>
      </w:tr>
    </w:tbl>
    <w:p>
      <w:pPr>
        <w:spacing w:after="60"/>
      </w:pPr>
    </w:p>
    <w:p>
      <w:pPr>
        <w:pStyle w:val="Heading2"/>
      </w:pPr>
      <w:r>
        <w:t>6.2 一线客服工作台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700"/>
        <w:gridCol w:w="700"/>
        <w:gridCol w:w="411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FR-10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以待接管、处理中、等待内部、已解决组织会话队列。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客服可筛选状态并查看剩余 SLA、风险、情绪、来源渠道和交接原因。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FR-11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会话详情展示客户消息、AI 摘要、已核验事实、订单/用户上下文和脱敏提示。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事实必须标识来源；客服可反馈摘要不准确；敏感字段不得完整暴露。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FR-12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AI 生成带知识依据的推荐回复，并支持人工采用、编辑或反馈无帮助。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建议显示知识依据；采用后进入回复框；高风险场景明确提示不能自动承诺。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FR-13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客服可创建/跟进工单、升级主管并结构化结案。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结案要求选择结果，确认用户已解决后才能关闭；结案记录可进入 SLA 与质检。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FR-14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客服只可查询和引用已发布知识。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搜索结果仅返回 active 知识；引用时记录知识编号与版本；无编辑、审核、发布入口。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FR-15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客服接管、发送人工回复、结案和重新打开均持久化，并写入审计事件。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刷新页面后状态与消息仍保留；接管和结案不依赖前端内存。</w:t>
            </w:r>
          </w:p>
        </w:tc>
      </w:tr>
    </w:tbl>
    <w:p>
      <w:pPr>
        <w:spacing w:after="60"/>
      </w:pPr>
    </w:p>
    <w:p>
      <w:pPr>
        <w:pStyle w:val="Heading2"/>
      </w:pPr>
      <w:r>
        <w:t>6.3 知识运营工作台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700"/>
        <w:gridCol w:w="700"/>
        <w:gridCol w:w="411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FR-20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按受影响会话、风险和到期时间排序知识缺口、口径冲突、待复核和即将过期任务。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工作队列可定位关联知识与任务来源；默认优先处理高影响高风险项。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FR-21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知识资产包含客服可引用内容、场景、责任团队、风险、接管策略、来源、版本和状态。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编辑仅保存草稿，不影响线上；来源可追溯；冲突被显式标记。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FR-22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导入官方政策、内部规范或 FAQ，系统生成候选知识和冲突提示。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P1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导入不能绕过人工审核直接发布；显示来源身份、预计片段数和潜在冲突。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FR-23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使用真实用户问法完成召回、边界和转人工验证。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测试通过前“提交双人复核”不可用；结果展示命中知识、边界与接管检查。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FR-24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通过业务与合规双人复核后进行灰度发布，并可回退线上版本。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发布状态区分草稿/复核中/灰度中；展示流量比例与回退能力。</w:t>
            </w:r>
          </w:p>
        </w:tc>
      </w:tr>
    </w:tbl>
    <w:p>
      <w:pPr>
        <w:spacing w:after="60"/>
      </w:pPr>
    </w:p>
    <w:p>
      <w:pPr>
        <w:pStyle w:val="Heading2"/>
      </w:pPr>
      <w:r>
        <w:t>6.4 AI 运营与策略中心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700"/>
        <w:gridCol w:w="700"/>
        <w:gridCol w:w="411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FR-30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提供全量评测、回归、盲测和人工复核队列。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评测结果能按识别、检索、回答、策略等维度定位失败；人工结论保留原始样本和复核信息。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FR-31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失败案例可回流知识、策略或数据治理工作项。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运营人员能明确标记失败归因；不允许直接覆盖原始标注，审批后形成新版本。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FR-32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策略中心配置低置信度兜底、高风险转人工、上下文继承和模型路由。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生产策略发布前显示检查项和双人审批状态；高风险策略默认不允许自动承诺。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FR-33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数据分析联动服务、质量、成本和时延指标。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P1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支持会话解决漏斗和质量 x 成本观察；数据口径需可追溯。</w:t>
            </w:r>
          </w:p>
        </w:tc>
      </w:tr>
    </w:tbl>
    <w:p>
      <w:pPr>
        <w:spacing w:after="60"/>
      </w:pPr>
    </w:p>
    <w:p>
      <w:pPr>
        <w:pStyle w:val="Heading2"/>
      </w:pPr>
      <w:r>
        <w:t>6.5 服务主管与系统治理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700"/>
        <w:gridCol w:w="700"/>
        <w:gridCol w:w="411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FR-40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服务主管查看运营总览、风险、SLA、工单和跨角色动态。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高风险、即将超时、未分配事项可直接跳转到处理入口。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FR-41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系统管理员管理资源权限、审计链路和策略审批。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记录敏感操作、权限变更和高风险拦截；可发现权限冲突与到期复核。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FR-42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安全要求包括脱敏、最小权限、敏感操作人工确认和可审计性。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P0</w:t>
            </w:r>
          </w:p>
        </w:tc>
        <w:tc>
          <w:tcPr>
            <w:tcW w:type="dxa" w:w="411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界面和接口均不得以 Agent 自动执行方式绕过身份核验或审批。</w:t>
            </w:r>
          </w:p>
        </w:tc>
      </w:tr>
    </w:tbl>
    <w:p>
      <w:pPr>
        <w:spacing w:after="60"/>
      </w:pPr>
    </w:p>
    <w:p>
      <w:pPr>
        <w:pStyle w:val="Heading1"/>
      </w:pPr>
      <w:r>
        <w:t>7. 数据、集成与非功能要求</w:t>
      </w:r>
    </w:p>
    <w:p>
      <w:pPr>
        <w:pStyle w:val="Heading2"/>
      </w:pPr>
      <w:r>
        <w:t>7.1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关键字段/关系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治理要求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会话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客户、渠道、意图、风险、SLA、历史、AI 回答、交接状态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保留交接上下文；敏感字段脱敏；可关联工单与知识版本。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编号、版本、内容、来源、责任团队、风险、有效期、状态、覆盖率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来源可追溯；版本可回退；生效状态决定是否可被客服/Agent 引用。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评测样本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问题、标签、期望、模型输出、归因、复核结论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保留原始样本与变更历史；不得由单人直接覆盖金标。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策略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路由规则、阈值、模型、风险动作、审批、版本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生产变更必须审批、记录生效范围并支持回退。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审计事件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主体、动作、资源、时间、结果、上下文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覆盖权限、策略、知识和高风险业务操作。</w:t>
            </w:r>
          </w:p>
        </w:tc>
      </w:tr>
    </w:tbl>
    <w:p>
      <w:pPr>
        <w:spacing w:after="60"/>
      </w:pPr>
    </w:p>
    <w:p>
      <w:pPr>
        <w:pStyle w:val="Heading2"/>
      </w:pPr>
      <w:r>
        <w:t>7.2 外部依赖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订单、支付、物流、会员和工单系统提供可核验事实与业务动作状态。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知识来源系统或文件库提供政策、SOP、FAQ 与来源快照。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大模型、向量检索、意图识别和路由服务提供 Agent 能力。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统一身份认证、权限系统、日志与监控平台提供企业治理能力。</w:t>
      </w:r>
    </w:p>
    <w:p>
      <w:pPr>
        <w:pStyle w:val="Heading2"/>
      </w:pPr>
      <w:r>
        <w:t>7.3 非功能与安全要求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可用性：生产核心会话与知识查询应具备监控、告警和降级方案。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可追溯：每次回答应记录使用的知识、策略和模型版本。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权限：按空间、角色和资源最小授权；角色切换不自动扩大权限。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隐私：PII 默认脱敏；敏感操作需要身份核验与人工确认。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可回退：知识和策略均需要保留线上版本、变更记录和回退路径。</w:t>
      </w:r>
    </w:p>
    <w:p>
      <w:pPr>
        <w:pStyle w:val="Heading1"/>
      </w:pPr>
      <w:r>
        <w:t>8. 成功指标与埋点</w:t>
      </w:r>
    </w:p>
    <w:p>
      <w:pPr>
        <w:spacing w:before="0" w:after="120" w:line="264" w:lineRule="auto"/>
      </w:pPr>
      <w:r>
        <w:rPr>
          <w:rFonts w:ascii="SimHei" w:hAnsi="SimHei" w:eastAsia="SimHei"/>
          <w:sz w:val="22"/>
        </w:rPr>
        <w:t>指标分为结果、质量、效率和安全四层。当前页面展示的数值是原型样例，正式目标值应在试点基线采集后确定。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3500"/>
        <w:gridCol w:w="24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拟衡量的问题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目标/阈值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北极星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可信闭环解决率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用户问题在有依据、无越权的前提下被解决的比例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[Assumption] 试点后定义基线与提升目标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服务结果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72 小时未重开率、满意度、SLA 达标率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人工与 AI 共同交付是否真正解决问题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不低于现有人工服务基线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AI 质量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可信引用率、知识命中率、低置信度率、误转人工率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回答是否有依据、是否正确选择自动/人工处理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高风险误放行必须为 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知识治理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知识缺口数、冲突处理时长、复核及时率、发布后改善幅度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知识团队是否有效减少真实会话问题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按业务类目定义 SLA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效率/成本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平均响应时延、单会话成本、建议采纳率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质量提升是否以可接受成本实现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不以降低安全为代价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安全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PII 脱敏覆盖、高风险拦截、越权访问、审计完整率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企业级治理是否有效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高风险自动执行为 0</w:t>
            </w:r>
          </w:p>
        </w:tc>
      </w:tr>
    </w:tbl>
    <w:p>
      <w:pPr>
        <w:spacing w:after="60"/>
      </w:pPr>
    </w:p>
    <w:p>
      <w:pPr>
        <w:pStyle w:val="Heading2"/>
      </w:pPr>
      <w:r>
        <w:t>8.1 建议埋点事件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会话：agent_answer_generated、agent_handoff_triggered、agent_answer_adopted、conversation_closed、conversation_reopened。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知识：knowledge_gap_created、knowledge_test_passed、knowledge_review_submitted、knowledge_published、knowledge_rolled_back。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评测/策略：evaluation_run_finished、failure_root_cause_marked、strategy_review_submitted、strategy_published。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治理：permission_changed、sensitive_operation_blocked、audit_event_viewed。</w:t>
      </w:r>
    </w:p>
    <w:p>
      <w:pPr>
        <w:pStyle w:val="Heading1"/>
      </w:pPr>
      <w:r>
        <w:t>9. 发布、验收与风险</w:t>
      </w:r>
    </w:p>
    <w:p>
      <w:pPr>
        <w:pStyle w:val="Heading2"/>
      </w:pPr>
      <w:r>
        <w:t>9.1 发布策略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先在沙箱空间完成角色、权限、知识、策略和审计链路测试。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选择一个业务类目在生产空间灰度，限定知识与策略生效流量。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监控可信引用、风险转人工、投诉、SLA、人工反馈与成本。</w:t>
      </w:r>
    </w:p>
    <w:p>
      <w:pPr>
        <w:pStyle w:val="ListNumber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达到指标和双人审批要求后扩大流量；发现高风险异常立即回退至上一版本。</w:t>
      </w:r>
    </w:p>
    <w:p>
      <w:pPr>
        <w:pStyle w:val="Heading2"/>
      </w:pPr>
      <w:r>
        <w:t>9.2 主要风险与缓解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缓解方案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知识口径错误或过期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错误回答、投诉、合规风险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来源、责任人、有效期、冲突检测、测试门禁、双人复核和回退。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模型幻觉或越权承诺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资金、赔付、账户等高风险事故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高风险规则强制转人工；回答附依据；策略审批与审计。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角色权限设计过宽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敏感数据泄露或非授权发布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空间隔离、最小权限、权限到期复核、审计追踪。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只优化模型分数而忽略业务结果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用户体验与成本恶化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使用可信闭环解决率及服务/安全护栏指标共同评估。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演示交互被误认为生产流程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错误预期和治理缺失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在上线计划中明确后端持久化、审批、通知和回退依赖。</w:t>
            </w:r>
          </w:p>
        </w:tc>
      </w:tr>
    </w:tbl>
    <w:p>
      <w:pPr>
        <w:spacing w:after="60"/>
      </w:pPr>
    </w:p>
    <w:p>
      <w:pPr>
        <w:pStyle w:val="Heading1"/>
      </w:pPr>
      <w:r>
        <w:t>10. 开放问题与后续路线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[Open Question] 业务规则负责人、合规审批人的独立工作台、审批时限和替代人机制如何设计？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[Open Question] 当前知识测试的真实样本集、金标维护机制、通过阈值和盲测规则如何确定？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[Open Question] 多租户隔离、数据保留期限、导出权限与审计保留策略如何满足目标行业合规要求？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[Open Question] Agent API 的模型供应商、故障降级、成本预算与观测标准如何确定？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下一优先级：完成 AI 运营工作台的“失败归因 - 任务回流 - 策略评测 - 审批发布”真实闭环。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后续迭代：将知识运营的原型状态接入后端持久化审批、真实灰度流量控制和可审计回退。</w:t>
      </w:r>
    </w:p>
    <w:p>
      <w:pPr>
        <w:pStyle w:val="Heading1"/>
      </w:pPr>
      <w:r>
        <w:t>11. PRD 维护与变更记录</w:t>
      </w:r>
    </w:p>
    <w:p>
      <w:pPr>
        <w:spacing w:before="0" w:after="120" w:line="264" w:lineRule="auto"/>
      </w:pPr>
      <w:r>
        <w:rPr>
          <w:rFonts w:ascii="SimHei" w:hAnsi="SimHei" w:eastAsia="SimHei"/>
          <w:sz w:val="22"/>
        </w:rPr>
        <w:t>本文件是产品、设计、研发、数据、业务和合规协作的单一需求基线。每次修改系统时，产品负责人应先判断是否影响角色、流程、权限、指标、范围、依赖或风险；如影响，则在同一次变更中更新本 PRD 的相应章节、版本和变更记录。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5160"/>
        <w:gridCol w:w="150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变更摘要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/>
                <w:color w:val="0B2545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V1.0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2026-08-14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基于当前 ServicePilot 原型建立完整产品基线；纳入角色工作台和知识运营闭环。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已创建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V1.1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2026-08-17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将体验用户提问、Agent 处理、转人工队列和客服接管/回复/结案接入持久化会话与消息。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SimHei"/>
                <w:b w:val="0"/>
                <w:sz w:val="18"/>
              </w:rPr>
              <w:t>已更新</w:t>
            </w:r>
          </w:p>
        </w:tc>
      </w:tr>
    </w:tbl>
    <w:p>
      <w:pPr>
        <w:spacing w:after="60"/>
      </w:pPr>
    </w:p>
    <w:p>
      <w:pPr>
        <w:pStyle w:val="Heading1"/>
      </w:pPr>
      <w:r>
        <w:t>12. 参考模板与来源</w:t>
      </w:r>
    </w:p>
    <w:p>
      <w:pPr>
        <w:spacing w:before="0" w:after="120" w:line="264" w:lineRule="auto"/>
      </w:pPr>
      <w:r>
        <w:rPr>
          <w:rFonts w:ascii="SimHei" w:hAnsi="SimHei" w:eastAsia="SimHei"/>
          <w:sz w:val="22"/>
        </w:rPr>
        <w:t>PRD 结构参考成熟企业协作模板的通用做法：在同一文档中维护目标、成功指标、假设、用户故事、范围、开放问题和支持材料，并把 PRD 作为持续更新的协作基线。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Atlassian Confluence, Product requirements document (PRD) template: https://www.atlassian.com/software/confluence/templates/product-requirements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Atlassian Agile Product Management, How to create a PRD: https://www.atlassian.com/agile/product-management/requirements/</w:t>
      </w:r>
    </w:p>
    <w:p>
      <w:pPr>
        <w:pStyle w:val="ListBullet"/>
        <w:spacing w:before="0" w:after="100" w:line="269" w:lineRule="auto"/>
        <w:ind w:left="720" w:hanging="360"/>
      </w:pPr>
      <w:r>
        <w:rPr>
          <w:rFonts w:ascii="SimHei" w:hAnsi="SimHei" w:eastAsia="SimHei"/>
          <w:sz w:val="21"/>
        </w:rPr>
        <w:t>ServicePilot 当前代码与已部署原型（角色工作台、会话、工单、知识运营、质检、策略、权限与审计）。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imHei" w:hAnsi="SimHei" w:eastAsia="SimHei"/>
        <w:b w:val="0"/>
        <w:color w:val="59636E"/>
        <w:sz w:val="17"/>
      </w:rPr>
      <w:t>内部工作稿 |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SimHei" w:hAnsi="SimHei" w:eastAsia="SimHei"/>
        <w:b/>
        <w:color w:val="59636E"/>
        <w:sz w:val="17"/>
      </w:rPr>
      <w:t>SERVICEPILOT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imHei" w:hAnsi="SimHei" w:eastAsia="Sim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ServicePilot 产品需求文档（PRD）</dc:title>
  <dc:subject>企业智能服务运营平台产品基线</dc:subject>
  <dc:creator>ServicePilot 产品团队</dc:creator>
  <cp:keywords/>
  <dc:description>Living PRD - update with every product change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