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9605"/>
      </w:tblGrid>
      <w:tr>
        <w:tc>
          <w:tcPr>
            <w:tcW w:type="dxa" w:w="9605"/>
            <w:shd w:fill="0F2C59"/>
            <w:tcMar>
              <w:top w:w="260" w:type="dxa"/>
              <w:bottom w:w="260" w:type="dxa"/>
              <w:left w:w="300" w:type="dxa"/>
              <w:right w:w="300" w:type="dxa"/>
            </w:tcMar>
          </w:tcPr>
          <w:p>
            <w:pPr>
              <w:spacing w:before="80" w:after="80"/>
              <w:jc w:val="right"/>
              <w:bidi w:val="1"/>
            </w:pPr>
            <w:r>
              <w:rPr>
                <w:rFonts w:ascii="Arial" w:hAnsi="Arial"/>
                <w:b/>
                <w:i w:val="0"/>
                <w:color w:val="FFFFFF"/>
                <w:sz w:val="40"/>
                <w:rFonts w:ascii="Arial" w:hAnsi="Arial" w:cs="Arial"/>
                <w:rtl w:val="1"/>
              </w:rPr>
              <w:t>منصة PsyAI للاستشارات النفسية</w:t>
            </w:r>
          </w:p>
          <w:p>
            <w:pPr>
              <w:spacing w:before="40" w:after="80"/>
              <w:jc w:val="right"/>
              <w:bidi w:val="1"/>
            </w:pPr>
            <w:r>
              <w:rPr>
                <w:rFonts w:ascii="Arial" w:hAnsi="Arial"/>
                <w:b w:val="0"/>
                <w:i w:val="0"/>
                <w:color w:val="E2E8F0"/>
                <w:sz w:val="24"/>
                <w:rFonts w:ascii="Arial" w:hAnsi="Arial" w:cs="Arial"/>
                <w:rtl w:val="1"/>
              </w:rPr>
              <w:t>دليل التوثيق التقني للواجهة الخلفية (Backend) وقائمة المهام البرمجية</w:t>
            </w:r>
          </w:p>
        </w:tc>
      </w:tr>
    </w:tbl>
    <w:p>
      <w:pPr>
        <w:spacing w:after="160"/>
      </w:pP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2592"/>
            <w:tcMar>
              <w:top w:w="80" w:type="dxa"/>
              <w:bottom w:w="80" w:type="dxa"/>
              <w:left w:w="120" w:type="dxa"/>
              <w:right w:w="120" w:type="dxa"/>
            </w:tcMar>
            <w:shd w:fill="F1F5F9"/>
          </w:tcPr>
          <w:p>
            <w:pPr>
              <w:jc w:val="right"/>
              <w:bidi w:val="1"/>
            </w:pPr>
            <w:r>
              <w:rPr>
                <w:rFonts w:ascii="Arial" w:hAnsi="Arial"/>
                <w:b/>
                <w:i w:val="0"/>
                <w:color w:val="1B365D"/>
                <w:sz w:val="20"/>
                <w:rFonts w:ascii="Arial" w:hAnsi="Arial" w:cs="Arial"/>
                <w:rtl w:val="1"/>
              </w:rPr>
              <w:t>بيئة العمل التقنية:</w:t>
            </w:r>
          </w:p>
        </w:tc>
        <w:tc>
          <w:tcPr>
            <w:tcW w:type="dxa" w:w="6768"/>
            <w:tcMar>
              <w:top w:w="80" w:type="dxa"/>
              <w:bottom w:w="80" w:type="dxa"/>
              <w:left w:w="120" w:type="dxa"/>
              <w:right w:w="120" w:type="dxa"/>
            </w:tcMar>
            <w:shd w:fill="FFFFFF"/>
          </w:tcPr>
          <w:p>
            <w:pPr>
              <w:jc w:val="right"/>
              <w:bidi w:val="1"/>
            </w:pPr>
            <w:r>
              <w:rPr>
                <w:rFonts w:ascii="Arial" w:hAnsi="Arial"/>
                <w:b w:val="0"/>
                <w:i w:val="0"/>
                <w:color w:val="1A202C"/>
                <w:sz w:val="20"/>
                <w:rFonts w:ascii="Arial" w:hAnsi="Arial" w:cs="Arial"/>
                <w:rtl w:val="1"/>
              </w:rPr>
              <w:t>Node.js (v18+) + Express.js + Prisma ORM + PostgreSQL</w:t>
            </w:r>
          </w:p>
        </w:tc>
      </w:tr>
      <w:tr>
        <w:tc>
          <w:tcPr>
            <w:tcW w:type="dxa" w:w="2592"/>
            <w:tcMar>
              <w:top w:w="80" w:type="dxa"/>
              <w:bottom w:w="80" w:type="dxa"/>
              <w:left w:w="120" w:type="dxa"/>
              <w:right w:w="120" w:type="dxa"/>
            </w:tcMar>
            <w:shd w:fill="F1F5F9"/>
          </w:tcPr>
          <w:p>
            <w:pPr>
              <w:jc w:val="right"/>
              <w:bidi w:val="1"/>
            </w:pPr>
            <w:r>
              <w:rPr>
                <w:rFonts w:ascii="Arial" w:hAnsi="Arial"/>
                <w:b/>
                <w:i w:val="0"/>
                <w:color w:val="1B365D"/>
                <w:sz w:val="20"/>
                <w:rFonts w:ascii="Arial" w:hAnsi="Arial" w:cs="Arial"/>
                <w:rtl w:val="1"/>
              </w:rPr>
              <w:t>منظومة الأمان والخصوصية:</w:t>
            </w:r>
          </w:p>
        </w:tc>
        <w:tc>
          <w:tcPr>
            <w:tcW w:type="dxa" w:w="6768"/>
            <w:tcMar>
              <w:top w:w="80" w:type="dxa"/>
              <w:bottom w:w="80" w:type="dxa"/>
              <w:left w:w="120" w:type="dxa"/>
              <w:right w:w="120" w:type="dxa"/>
            </w:tcMar>
            <w:shd w:fill="FFFFFF"/>
          </w:tcPr>
          <w:p>
            <w:pPr>
              <w:jc w:val="right"/>
              <w:bidi w:val="1"/>
            </w:pPr>
            <w:r>
              <w:rPr>
                <w:rFonts w:ascii="Arial" w:hAnsi="Arial"/>
                <w:b w:val="0"/>
                <w:i w:val="0"/>
                <w:color w:val="1A202C"/>
                <w:sz w:val="20"/>
                <w:rFonts w:ascii="Arial" w:hAnsi="Arial" w:cs="Arial"/>
                <w:rtl w:val="1"/>
              </w:rPr>
              <w:t>تشفير الحقول الحساسة (AES-256-GCM) + الفهرسة العمياء (Blind Index HMAC-SHA256) + JWT + OTP WhatsApp</w:t>
            </w:r>
          </w:p>
        </w:tc>
      </w:tr>
      <w:tr>
        <w:tc>
          <w:tcPr>
            <w:tcW w:type="dxa" w:w="2592"/>
            <w:tcMar>
              <w:top w:w="80" w:type="dxa"/>
              <w:bottom w:w="80" w:type="dxa"/>
              <w:left w:w="120" w:type="dxa"/>
              <w:right w:w="120" w:type="dxa"/>
            </w:tcMar>
            <w:shd w:fill="F1F5F9"/>
          </w:tcPr>
          <w:p>
            <w:pPr>
              <w:jc w:val="right"/>
              <w:bidi w:val="1"/>
            </w:pPr>
            <w:r>
              <w:rPr>
                <w:rFonts w:ascii="Arial" w:hAnsi="Arial"/>
                <w:b/>
                <w:i w:val="0"/>
                <w:color w:val="1B365D"/>
                <w:sz w:val="20"/>
                <w:rFonts w:ascii="Arial" w:hAnsi="Arial" w:cs="Arial"/>
                <w:rtl w:val="1"/>
              </w:rPr>
              <w:t>حالة الوثيقة والنسخة:</w:t>
            </w:r>
          </w:p>
        </w:tc>
        <w:tc>
          <w:tcPr>
            <w:tcW w:type="dxa" w:w="6768"/>
            <w:tcMar>
              <w:top w:w="80" w:type="dxa"/>
              <w:bottom w:w="80" w:type="dxa"/>
              <w:left w:w="120" w:type="dxa"/>
              <w:right w:w="120" w:type="dxa"/>
            </w:tcMar>
            <w:shd w:fill="FFFFFF"/>
          </w:tcPr>
          <w:p>
            <w:pPr>
              <w:jc w:val="right"/>
              <w:bidi w:val="1"/>
            </w:pPr>
            <w:r>
              <w:rPr>
                <w:rFonts w:ascii="Arial" w:hAnsi="Arial"/>
                <w:b w:val="0"/>
                <w:i w:val="0"/>
                <w:color w:val="1A202C"/>
                <w:sz w:val="20"/>
                <w:rFonts w:ascii="Arial" w:hAnsi="Arial" w:cs="Arial"/>
                <w:rtl w:val="1"/>
              </w:rPr>
              <w:t>الإصدار 1.0.0 — مسودة معتمدة لفريق التطوير</w:t>
            </w:r>
          </w:p>
        </w:tc>
      </w:tr>
      <w:tr>
        <w:tc>
          <w:tcPr>
            <w:tcW w:type="dxa" w:w="2592"/>
            <w:tcMar>
              <w:top w:w="80" w:type="dxa"/>
              <w:bottom w:w="80" w:type="dxa"/>
              <w:left w:w="120" w:type="dxa"/>
              <w:right w:w="120" w:type="dxa"/>
            </w:tcMar>
            <w:shd w:fill="F1F5F9"/>
          </w:tcPr>
          <w:p>
            <w:pPr>
              <w:jc w:val="right"/>
              <w:bidi w:val="1"/>
            </w:pPr>
            <w:r>
              <w:rPr>
                <w:rFonts w:ascii="Arial" w:hAnsi="Arial"/>
                <w:b/>
                <w:i w:val="0"/>
                <w:color w:val="1B365D"/>
                <w:sz w:val="20"/>
                <w:rFonts w:ascii="Arial" w:hAnsi="Arial" w:cs="Arial"/>
                <w:rtl w:val="1"/>
              </w:rPr>
              <w:t>تاريخ آخر تدقيق وفحص:</w:t>
            </w:r>
          </w:p>
        </w:tc>
        <w:tc>
          <w:tcPr>
            <w:tcW w:type="dxa" w:w="6768"/>
            <w:tcMar>
              <w:top w:w="80" w:type="dxa"/>
              <w:bottom w:w="80" w:type="dxa"/>
              <w:left w:w="120" w:type="dxa"/>
              <w:right w:w="120" w:type="dxa"/>
            </w:tcMar>
            <w:shd w:fill="FFFFFF"/>
          </w:tcPr>
          <w:p>
            <w:pPr>
              <w:jc w:val="right"/>
              <w:bidi w:val="1"/>
            </w:pPr>
            <w:r>
              <w:rPr>
                <w:rFonts w:ascii="Arial" w:hAnsi="Arial"/>
                <w:b w:val="0"/>
                <w:i w:val="0"/>
                <w:color w:val="1A202C"/>
                <w:sz w:val="20"/>
                <w:rFonts w:ascii="Arial" w:hAnsi="Arial" w:cs="Arial"/>
                <w:rtl w:val="1"/>
              </w:rPr>
              <w:t>أكتوبر 2026</w:t>
            </w:r>
          </w:p>
        </w:tc>
      </w:tr>
    </w:tbl>
    <w:p>
      <w:pPr>
        <w:spacing w:after="200"/>
      </w:pP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الأول: هيكل المشروع البرمجي</w:t>
      </w:r>
    </w:p>
    <w:p>
      <w:pPr>
        <w:spacing w:before="40" w:after="80" w:line="288" w:lineRule="auto"/>
        <w:jc w:val="right"/>
        <w:bidi w:val="1"/>
      </w:pPr>
      <w:r>
        <w:rPr>
          <w:rFonts w:ascii="Arial" w:hAnsi="Arial"/>
          <w:b w:val="0"/>
          <w:i w:val="0"/>
          <w:color w:val="1A202C"/>
          <w:sz w:val="21"/>
          <w:rFonts w:ascii="Arial" w:hAnsi="Arial" w:cs="Arial"/>
          <w:rtl w:val="1"/>
        </w:rPr>
        <w:t>يوضح المخطط التالي شجرة الملفات والمجلدات الخاصة بالنظام الخلفي، وتوزيع المسؤوليات بين المتحكمات والخدمات والوسطاء:</w:t>
      </w:r>
    </w:p>
    <w:tbl>
      <w:tblPr>
        <w:tblW w:type="auto" w:w="0"/>
        <w:jc w:val="center"/>
        <w:tblLook w:firstColumn="1" w:firstRow="1" w:lastColumn="0" w:lastRow="0" w:noHBand="0" w:noVBand="1" w:val="04A0"/>
        <w:bidiVisual/>
      </w:tblPr>
      <w:tblGrid>
        <w:gridCol w:w="9605"/>
      </w:tblGrid>
      <w:tr>
        <w:tc>
          <w:tcPr>
            <w:tcW w:type="dxa" w:w="9605"/>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20" w:after="20" w:line="252" w:lineRule="auto"/>
              <w:jc w:val="left"/>
            </w:pPr>
            <w:r>
              <w:rPr>
                <w:rFonts w:ascii="Consolas" w:hAnsi="Consolas"/>
                <w:color w:val="1E293B"/>
                <w:sz w:val="17"/>
              </w:rPr>
              <w:t>backend/</w:t>
            </w:r>
          </w:p>
          <w:p>
            <w:pPr>
              <w:spacing w:before="20" w:after="20" w:line="252" w:lineRule="auto"/>
              <w:jc w:val="left"/>
            </w:pPr>
            <w:r>
              <w:rPr>
                <w:rFonts w:ascii="Consolas" w:hAnsi="Consolas"/>
                <w:color w:val="1E293B"/>
                <w:sz w:val="17"/>
              </w:rPr>
              <w:t>├── src/</w:t>
            </w:r>
          </w:p>
          <w:p>
            <w:pPr>
              <w:spacing w:before="20" w:after="20" w:line="252" w:lineRule="auto"/>
              <w:jc w:val="left"/>
            </w:pPr>
            <w:r>
              <w:rPr>
                <w:rFonts w:ascii="Consolas" w:hAnsi="Consolas"/>
                <w:color w:val="1E293B"/>
                <w:sz w:val="17"/>
              </w:rPr>
              <w:t>│   ├── index.js                          # نقطة الدخول الرئيسية للخادم والروابط</w:t>
            </w:r>
          </w:p>
          <w:p>
            <w:pPr>
              <w:spacing w:before="20" w:after="20" w:line="252" w:lineRule="auto"/>
              <w:jc w:val="left"/>
            </w:pPr>
            <w:r>
              <w:rPr>
                <w:rFonts w:ascii="Consolas" w:hAnsi="Consolas"/>
                <w:color w:val="1E293B"/>
                <w:sz w:val="17"/>
              </w:rPr>
              <w:t>│   ├── config/</w:t>
            </w:r>
          </w:p>
          <w:p>
            <w:pPr>
              <w:spacing w:before="20" w:after="20" w:line="252" w:lineRule="auto"/>
              <w:jc w:val="left"/>
            </w:pPr>
            <w:r>
              <w:rPr>
                <w:rFonts w:ascii="Consolas" w:hAnsi="Consolas"/>
                <w:color w:val="1E293B"/>
                <w:sz w:val="17"/>
              </w:rPr>
              <w:t>│   │   └── db.js                         # تهيئة وتصدير Prisma Client الموحد</w:t>
            </w:r>
          </w:p>
          <w:p>
            <w:pPr>
              <w:spacing w:before="20" w:after="20" w:line="252" w:lineRule="auto"/>
              <w:jc w:val="left"/>
            </w:pPr>
            <w:r>
              <w:rPr>
                <w:rFonts w:ascii="Consolas" w:hAnsi="Consolas"/>
                <w:color w:val="1E293B"/>
                <w:sz w:val="17"/>
              </w:rPr>
              <w:t>│   ├── controllers/</w:t>
            </w:r>
          </w:p>
          <w:p>
            <w:pPr>
              <w:spacing w:before="20" w:after="20" w:line="252" w:lineRule="auto"/>
              <w:jc w:val="left"/>
            </w:pPr>
            <w:r>
              <w:rPr>
                <w:rFonts w:ascii="Consolas" w:hAnsi="Consolas"/>
                <w:color w:val="1E293B"/>
                <w:sz w:val="17"/>
              </w:rPr>
              <w:t>│   │   ├── authController.js             # المصادقة، التسجيل، التحقق وكلمات المرور</w:t>
            </w:r>
          </w:p>
          <w:p>
            <w:pPr>
              <w:spacing w:before="20" w:after="20" w:line="252" w:lineRule="auto"/>
              <w:jc w:val="left"/>
            </w:pPr>
            <w:r>
              <w:rPr>
                <w:rFonts w:ascii="Consolas" w:hAnsi="Consolas"/>
                <w:color w:val="1E293B"/>
                <w:sz w:val="17"/>
              </w:rPr>
              <w:t>│   │   ├── adminController.js            # لوحة تحكم الإدارة العليا والتقارير</w:t>
            </w:r>
          </w:p>
          <w:p>
            <w:pPr>
              <w:spacing w:before="20" w:after="20" w:line="252" w:lineRule="auto"/>
              <w:jc w:val="left"/>
            </w:pPr>
            <w:r>
              <w:rPr>
                <w:rFonts w:ascii="Consolas" w:hAnsi="Consolas"/>
                <w:color w:val="1E293B"/>
                <w:sz w:val="17"/>
              </w:rPr>
              <w:t>│   │   ├── bookingsController.js         # حجز وإدارة مواعيد الجلسات</w:t>
            </w:r>
          </w:p>
          <w:p>
            <w:pPr>
              <w:spacing w:before="20" w:after="20" w:line="252" w:lineRule="auto"/>
              <w:jc w:val="left"/>
            </w:pPr>
            <w:r>
              <w:rPr>
                <w:rFonts w:ascii="Consolas" w:hAnsi="Consolas"/>
                <w:color w:val="1E293B"/>
                <w:sz w:val="17"/>
              </w:rPr>
              <w:t>│   │   ├── paymentsController.js         # إنشاء جلسات الدفع ومعالجة Webhook فيزا</w:t>
            </w:r>
          </w:p>
          <w:p>
            <w:pPr>
              <w:spacing w:before="20" w:after="20" w:line="252" w:lineRule="auto"/>
              <w:jc w:val="left"/>
            </w:pPr>
            <w:r>
              <w:rPr>
                <w:rFonts w:ascii="Consolas" w:hAnsi="Consolas"/>
                <w:color w:val="1E293B"/>
                <w:sz w:val="17"/>
              </w:rPr>
              <w:t>│   │   ├── specialistsController.js      # استعراض وبحث الأخصائيين للجمهور</w:t>
            </w:r>
          </w:p>
          <w:p>
            <w:pPr>
              <w:spacing w:before="20" w:after="20" w:line="252" w:lineRule="auto"/>
              <w:jc w:val="left"/>
            </w:pPr>
            <w:r>
              <w:rPr>
                <w:rFonts w:ascii="Consolas" w:hAnsi="Consolas"/>
                <w:color w:val="1E293B"/>
                <w:sz w:val="17"/>
              </w:rPr>
              <w:t>│   │   ├── specialistPortalController.js # بوابة الأخصائي وإدارة الحجوزات والمقالات</w:t>
            </w:r>
          </w:p>
          <w:p>
            <w:pPr>
              <w:spacing w:before="20" w:after="20" w:line="252" w:lineRule="auto"/>
              <w:jc w:val="left"/>
            </w:pPr>
            <w:r>
              <w:rPr>
                <w:rFonts w:ascii="Consolas" w:hAnsi="Consolas"/>
                <w:color w:val="1E293B"/>
                <w:sz w:val="17"/>
              </w:rPr>
              <w:t>│   │   └── b2bController.js              # معالجة طلبات الشركات والمؤسسات</w:t>
            </w:r>
          </w:p>
          <w:p>
            <w:pPr>
              <w:spacing w:before="20" w:after="20" w:line="252" w:lineRule="auto"/>
              <w:jc w:val="left"/>
            </w:pPr>
            <w:r>
              <w:rPr>
                <w:rFonts w:ascii="Consolas" w:hAnsi="Consolas"/>
                <w:color w:val="1E293B"/>
                <w:sz w:val="17"/>
              </w:rPr>
              <w:t>│   ├── services/</w:t>
            </w:r>
          </w:p>
          <w:p>
            <w:pPr>
              <w:spacing w:before="20" w:after="20" w:line="252" w:lineRule="auto"/>
              <w:jc w:val="left"/>
            </w:pPr>
            <w:r>
              <w:rPr>
                <w:rFonts w:ascii="Consolas" w:hAnsi="Consolas"/>
                <w:color w:val="1E293B"/>
                <w:sz w:val="17"/>
              </w:rPr>
              <w:t>│   │   ├── encryptionService.js          # تشفير وفك تشفير الحقول والفهرسة العمياء</w:t>
            </w:r>
          </w:p>
          <w:p>
            <w:pPr>
              <w:spacing w:before="20" w:after="20" w:line="252" w:lineRule="auto"/>
              <w:jc w:val="left"/>
            </w:pPr>
            <w:r>
              <w:rPr>
                <w:rFonts w:ascii="Consolas" w:hAnsi="Consolas"/>
                <w:color w:val="1E293B"/>
                <w:sz w:val="17"/>
              </w:rPr>
              <w:t>│   │   ├── securityService.js            # توليد وتجزئة كلمات المرور ورموز التحقق</w:t>
            </w:r>
          </w:p>
          <w:p>
            <w:pPr>
              <w:spacing w:before="20" w:after="20" w:line="252" w:lineRule="auto"/>
              <w:jc w:val="left"/>
            </w:pPr>
            <w:r>
              <w:rPr>
                <w:rFonts w:ascii="Consolas" w:hAnsi="Consolas"/>
                <w:color w:val="1E293B"/>
                <w:sz w:val="17"/>
              </w:rPr>
              <w:t>│   │   ├── paymentService.js             # تكامل بوابة الدفع المعتمدة Visa Checkout</w:t>
            </w:r>
          </w:p>
          <w:p>
            <w:pPr>
              <w:spacing w:before="20" w:after="20" w:line="252" w:lineRule="auto"/>
              <w:jc w:val="left"/>
            </w:pPr>
            <w:r>
              <w:rPr>
                <w:rFonts w:ascii="Consolas" w:hAnsi="Consolas"/>
                <w:color w:val="1E293B"/>
                <w:sz w:val="17"/>
              </w:rPr>
              <w:t>│   │   ├── whatsappService.js            # إرسال رموز التحقق والتنبيهات عبر واتساب</w:t>
            </w:r>
          </w:p>
          <w:p>
            <w:pPr>
              <w:spacing w:before="20" w:after="20" w:line="252" w:lineRule="auto"/>
              <w:jc w:val="left"/>
            </w:pPr>
            <w:r>
              <w:rPr>
                <w:rFonts w:ascii="Consolas" w:hAnsi="Consolas"/>
                <w:color w:val="1E293B"/>
                <w:sz w:val="17"/>
              </w:rPr>
              <w:t>│   │   ├── b2bService.js                 # منطق وقواعد أعمال طلبات الشراكة للشركات</w:t>
            </w:r>
          </w:p>
          <w:p>
            <w:pPr>
              <w:spacing w:before="20" w:after="20" w:line="252" w:lineRule="auto"/>
              <w:jc w:val="left"/>
            </w:pPr>
            <w:r>
              <w:rPr>
                <w:rFonts w:ascii="Consolas" w:hAnsi="Consolas"/>
                <w:color w:val="1E293B"/>
                <w:sz w:val="17"/>
              </w:rPr>
              <w:t>│   │   ├── auditService.js               # تسجيل سجلات الرقابة وتتبع العمليات الحساسة</w:t>
            </w:r>
          </w:p>
          <w:p>
            <w:pPr>
              <w:spacing w:before="20" w:after="20" w:line="252" w:lineRule="auto"/>
              <w:jc w:val="left"/>
            </w:pPr>
            <w:r>
              <w:rPr>
                <w:rFonts w:ascii="Consolas" w:hAnsi="Consolas"/>
                <w:color w:val="1E293B"/>
                <w:sz w:val="17"/>
              </w:rPr>
              <w:t>│   │   └── reminderWorker.js             # العامل الخلفي وجدولة التذكيرات المؤتمتة</w:t>
            </w:r>
          </w:p>
          <w:p>
            <w:pPr>
              <w:spacing w:before="20" w:after="20" w:line="252" w:lineRule="auto"/>
              <w:jc w:val="left"/>
            </w:pPr>
            <w:r>
              <w:rPr>
                <w:rFonts w:ascii="Consolas" w:hAnsi="Consolas"/>
                <w:color w:val="1E293B"/>
                <w:sz w:val="17"/>
              </w:rPr>
              <w:t>│   ├── middlewares/</w:t>
            </w:r>
          </w:p>
          <w:p>
            <w:pPr>
              <w:spacing w:before="20" w:after="20" w:line="252" w:lineRule="auto"/>
              <w:jc w:val="left"/>
            </w:pPr>
            <w:r>
              <w:rPr>
                <w:rFonts w:ascii="Consolas" w:hAnsi="Consolas"/>
                <w:color w:val="1E293B"/>
                <w:sz w:val="17"/>
              </w:rPr>
              <w:t>│   │   ├── auth.js                       # التحقق من صحة JWT والصلاحيات (Roles)</w:t>
            </w:r>
          </w:p>
          <w:p>
            <w:pPr>
              <w:spacing w:before="20" w:after="20" w:line="252" w:lineRule="auto"/>
              <w:jc w:val="left"/>
            </w:pPr>
            <w:r>
              <w:rPr>
                <w:rFonts w:ascii="Consolas" w:hAnsi="Consolas"/>
                <w:color w:val="1E293B"/>
                <w:sz w:val="17"/>
              </w:rPr>
              <w:t>│   │   ├── security.js                   # Helmet, CORS, ومحددات الطلبات Rate Limiting</w:t>
            </w:r>
          </w:p>
          <w:p>
            <w:pPr>
              <w:spacing w:before="20" w:after="20" w:line="252" w:lineRule="auto"/>
              <w:jc w:val="left"/>
            </w:pPr>
            <w:r>
              <w:rPr>
                <w:rFonts w:ascii="Consolas" w:hAnsi="Consolas"/>
                <w:color w:val="1E293B"/>
                <w:sz w:val="17"/>
              </w:rPr>
              <w:t>│   │   └── validate.js                   # فحص وتدقيق مدخلات الطلبات عبر Zod</w:t>
            </w:r>
          </w:p>
          <w:p>
            <w:pPr>
              <w:spacing w:before="20" w:after="20" w:line="252" w:lineRule="auto"/>
              <w:jc w:val="left"/>
            </w:pPr>
            <w:r>
              <w:rPr>
                <w:rFonts w:ascii="Consolas" w:hAnsi="Consolas"/>
                <w:color w:val="1E293B"/>
                <w:sz w:val="17"/>
              </w:rPr>
              <w:t>│   └── routes/                           # مجلد الروابط المجزأة (تحت التنظيم)</w:t>
            </w:r>
          </w:p>
          <w:p>
            <w:pPr>
              <w:spacing w:before="20" w:after="20" w:line="252" w:lineRule="auto"/>
              <w:jc w:val="left"/>
            </w:pPr>
            <w:r>
              <w:rPr>
                <w:rFonts w:ascii="Consolas" w:hAnsi="Consolas"/>
                <w:color w:val="1E293B"/>
                <w:sz w:val="17"/>
              </w:rPr>
              <w:t>├── prisma/</w:t>
            </w:r>
          </w:p>
          <w:p>
            <w:pPr>
              <w:spacing w:before="20" w:after="20" w:line="252" w:lineRule="auto"/>
              <w:jc w:val="left"/>
            </w:pPr>
            <w:r>
              <w:rPr>
                <w:rFonts w:ascii="Consolas" w:hAnsi="Consolas"/>
                <w:color w:val="1E293B"/>
                <w:sz w:val="17"/>
              </w:rPr>
              <w:t>│   ├── schema.prisma                     # المخطط التعريفي الكامل لقاعدة البيانات</w:t>
            </w:r>
          </w:p>
          <w:p>
            <w:pPr>
              <w:spacing w:before="20" w:after="20" w:line="252" w:lineRule="auto"/>
              <w:jc w:val="left"/>
            </w:pPr>
            <w:r>
              <w:rPr>
                <w:rFonts w:ascii="Consolas" w:hAnsi="Consolas"/>
                <w:color w:val="1E293B"/>
                <w:sz w:val="17"/>
              </w:rPr>
              <w:t>│   └── seed.js                           # البيانات الأولية التجريبية والمشرف العام</w:t>
            </w:r>
          </w:p>
          <w:p>
            <w:pPr>
              <w:spacing w:before="20" w:after="20" w:line="252" w:lineRule="auto"/>
              <w:jc w:val="left"/>
            </w:pPr>
            <w:r>
              <w:rPr>
                <w:rFonts w:ascii="Consolas" w:hAnsi="Consolas"/>
                <w:color w:val="1E293B"/>
                <w:sz w:val="17"/>
              </w:rPr>
              <w:t>└── package.json                          # التبعيات وحزم النظام</w:t>
            </w:r>
          </w:p>
        </w:tc>
      </w:tr>
    </w:tbl>
    <w:p>
      <w:pPr>
        <w:spacing w:after="120"/>
      </w:pP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الثاني: منظومة الأمان وحماية البيانات الصحية</w:t>
      </w:r>
    </w:p>
    <w:p>
      <w:pPr>
        <w:spacing w:before="40" w:after="80" w:line="288" w:lineRule="auto"/>
        <w:jc w:val="right"/>
        <w:bidi w:val="1"/>
      </w:pPr>
      <w:r>
        <w:rPr>
          <w:rFonts w:ascii="Arial" w:hAnsi="Arial"/>
          <w:b w:val="0"/>
          <w:i w:val="0"/>
          <w:color w:val="1A202C"/>
          <w:sz w:val="21"/>
          <w:rFonts w:ascii="Arial" w:hAnsi="Arial" w:cs="Arial"/>
          <w:rtl w:val="1"/>
        </w:rPr>
        <w:t>نظراً لحساسية البيانات النفسية والصحية للمستخدمين، تلتزم المنصة بأعلى معايير حماية البيانات الطبية وتتضمن الضوابط التالية: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تشفير البيانات: </w:t>
      </w:r>
      <w:r>
        <w:rPr>
          <w:rFonts w:ascii="Arial" w:hAnsi="Arial"/>
          <w:b w:val="0"/>
          <w:i w:val="0"/>
          <w:color w:val="1A202C"/>
          <w:sz w:val="20"/>
          <w:rFonts w:ascii="Arial" w:hAnsi="Arial" w:cs="Arial"/>
          <w:rtl w:val="1"/>
        </w:rPr>
        <w:t>تشفير على مستوى الحقول (Field-Level Encryption): تشفير الاسم الأول، الاسم الأخير، البريد الإلكتروني، رقم الهاتف، والحالة النفسية باستخدام خوارزمية AES-256-GCM مع مفتاح تشفير معزول.</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الفهرسة الآمنة: </w:t>
      </w:r>
      <w:r>
        <w:rPr>
          <w:rFonts w:ascii="Arial" w:hAnsi="Arial"/>
          <w:b w:val="0"/>
          <w:i w:val="0"/>
          <w:color w:val="1A202C"/>
          <w:sz w:val="20"/>
          <w:rFonts w:ascii="Arial" w:hAnsi="Arial" w:cs="Arial"/>
          <w:rtl w:val="1"/>
        </w:rPr>
        <w:t>فهرسة عمياء للبحث (Blind Index): توليد بصمة تجزئة مشفرة HMAC-SHA256 مع ملح Pepper لكل من البريد الإلكتروني ورقم الهاتف لإتاحة البحث الفوري المطابق دون الحاجة لفك تشفير قاعدة البيانات.</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إدارة الجلسات: </w:t>
      </w:r>
      <w:r>
        <w:rPr>
          <w:rFonts w:ascii="Arial" w:hAnsi="Arial"/>
          <w:b w:val="0"/>
          <w:i w:val="0"/>
          <w:color w:val="1A202C"/>
          <w:sz w:val="20"/>
          <w:rFonts w:ascii="Arial" w:hAnsi="Arial" w:cs="Arial"/>
          <w:rtl w:val="1"/>
        </w:rPr>
        <w:t>المصادقة ورموز النفاذ: استخدام رموز JWT موقّعة بخوارزمية HS256 مع فترة صلاحية 7 أيام، متضمنة رقم إصدار الرمز (tokenVersion) لإتاحة الإلغاء الفوري للجلسات عند تغيير كلمة المرور.</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التحقق بخطوتين: </w:t>
      </w:r>
      <w:r>
        <w:rPr>
          <w:rFonts w:ascii="Arial" w:hAnsi="Arial"/>
          <w:b w:val="0"/>
          <w:i w:val="0"/>
          <w:color w:val="1A202C"/>
          <w:sz w:val="20"/>
          <w:rFonts w:ascii="Arial" w:hAnsi="Arial" w:cs="Arial"/>
          <w:rtl w:val="1"/>
        </w:rPr>
        <w:t>رموز التحقق المؤقتة (WhatsApp OTP): رموز عددية عشوائية بطول 6 خانات تولد بواسطة مولد عشوائي آمن (CSPRNG)، وتخزن مجزأة، مع فترة صلاحية 5 دقائق، وقفل مؤقت 15 دقيقة عند تكرار 5 محاولات خاطئة.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مكافحة الهجمات: </w:t>
      </w:r>
      <w:r>
        <w:rPr>
          <w:rFonts w:ascii="Arial" w:hAnsi="Arial"/>
          <w:b w:val="0"/>
          <w:i w:val="0"/>
          <w:color w:val="1A202C"/>
          <w:sz w:val="20"/>
          <w:rFonts w:ascii="Arial" w:hAnsi="Arial" w:cs="Arial"/>
          <w:rtl w:val="1"/>
        </w:rPr>
        <w:t>تحديد معدل الطلبات (Rate Limiting): تطبيق حدود صارمة لمنع الهجمات الموجهة (3 محاولات تسجيل دخول لكل 15 دقيقة، 3 محاولات إرسال OTP لكل 10 دقائق، و10 طلبات إنشاء جلسة دفع لكل 10 دقائق).</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حماية المدفوعات: </w:t>
      </w:r>
      <w:r>
        <w:rPr>
          <w:rFonts w:ascii="Arial" w:hAnsi="Arial"/>
          <w:b w:val="0"/>
          <w:i w:val="0"/>
          <w:color w:val="1A202C"/>
          <w:sz w:val="20"/>
          <w:rFonts w:ascii="Arial" w:hAnsi="Arial" w:cs="Arial"/>
          <w:rtl w:val="1"/>
        </w:rPr>
        <w:t>بوابات الدفع الآمنة: لا يتم استقبال أو تخزين أي بيانات للبطاقات الائتمانية نهائياً في خوادم PsyAI، وتتم جميع المعاملات عبر بوابة الدفع المستضافة Visa Hosted Checkout مع التحقق من توقيع الـ Webhook وعناوين IP المصرحة.</w:t>
      </w: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الثالث: دليل واجهات برمجة التطبيقات (API Endpoints)</w:t>
      </w:r>
    </w:p>
    <w:p>
      <w:pPr>
        <w:spacing w:before="240" w:after="80"/>
        <w:jc w:val="right"/>
        <w:keepNext/>
        <w:bidi w:val="1"/>
      </w:pPr>
      <w:r>
        <w:rPr>
          <w:rFonts w:ascii="Arial" w:hAnsi="Arial"/>
          <w:b/>
          <w:i w:val="0"/>
          <w:color w:val="2B6CB0"/>
          <w:sz w:val="25"/>
          <w:rFonts w:ascii="Arial" w:hAnsi="Arial" w:cs="Arial"/>
          <w:rtl w:val="1"/>
        </w:rPr>
        <w:t>1. واجهات المصادقة والحساب (/api/auth)</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/api/auth/send-otp</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(Rate Limit)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إرسال رمز تحقق مؤقت 6 أرقام عبر واتساب</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/api/auth/verify-otp</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التحقق من صحة الرمز وتأكيد ملكية رقم الهاتف</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/api/auth/register</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إنشاء حساب مستخدم جديد وتشفير بياناته الشخصية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/api/auth/login</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(Rate Limit)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تسجيل الدخول بالبريد أو الهاتف وإصدار الـ JWT</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/api/auth/google</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(Rate Limit)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المصادقة السريعة عبر Google OAuth</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/api/auth/forgot-password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(Rate Limit)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طلب استعادة كلمة المرور وإرسال الرابط الآمن</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/api/auth/reset-password</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(Rate Limit)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تعيين كلمة المرور الجديدة بواسطة رمز الاستعادة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/api/auth/me</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الملف الشخصي الكامل للمستخدم المسجل</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/api/auth/config</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الإعدادات العامة العامة للواجهة الأمامية</w:t>
            </w:r>
          </w:p>
        </w:tc>
      </w:tr>
    </w:tbl>
    <w:p>
      <w:pPr>
        <w:spacing w:after="200"/>
      </w:pPr>
    </w:p>
    <w:p>
      <w:pPr>
        <w:spacing w:before="240" w:after="80"/>
        <w:jc w:val="right"/>
        <w:keepNext/>
        <w:bidi w:val="1"/>
      </w:pPr>
      <w:r>
        <w:rPr>
          <w:rFonts w:ascii="Arial" w:hAnsi="Arial"/>
          <w:b/>
          <w:i w:val="0"/>
          <w:color w:val="2B6CB0"/>
          <w:sz w:val="25"/>
          <w:rFonts w:ascii="Arial" w:hAnsi="Arial" w:cs="Arial"/>
          <w:rtl w:val="1"/>
        </w:rPr>
        <w:t>2. الملف الشخصي وإدارة الحساب (/api/user)</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/api/user/profile</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بيانات الملف الشخصي بعد فك تشفيرها</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PUT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/api/user/profile</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تحديث الاسم، التفضيلات، والحالة النفسية للمريض</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/api/user/send-phone-otp</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 + Rate)</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إرسال رمز تحقق لتحديث رقم الهاتف المعتمد</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/api/user/update-phone</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تأكيد الرمز واعتماد رقم الهاتف الجديد المشفر</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PUT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/api/user/change-password</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تغيير كلمة المرور وإلغاء صلاحية الجلسات الأخرى</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DELETE</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/api/user/account</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(JWT)</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حذف أو تعطيل حساب المستخدم بشكل نهائي</w:t>
            </w:r>
          </w:p>
        </w:tc>
      </w:tr>
    </w:tbl>
    <w:p>
      <w:pPr>
        <w:spacing w:after="200"/>
      </w:pPr>
    </w:p>
    <w:p>
      <w:pPr>
        <w:spacing w:before="240" w:after="80"/>
        <w:jc w:val="right"/>
        <w:keepNext/>
        <w:bidi w:val="1"/>
      </w:pPr>
      <w:r>
        <w:rPr>
          <w:rFonts w:ascii="Arial" w:hAnsi="Arial"/>
          <w:b/>
          <w:i w:val="0"/>
          <w:color w:val="2B6CB0"/>
          <w:sz w:val="25"/>
          <w:rFonts w:ascii="Arial" w:hAnsi="Arial" w:cs="Arial"/>
          <w:rtl w:val="1"/>
        </w:rPr>
        <w:t>3. استعراض وبحث الأخصائيين (/api/specialists)</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للعموم</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قائمة الأخصائيين مع الفلاتر والتقييمات</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/api/specialists/:id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للعموم</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عرض الملف المهني والجدول الزمني لأخصائي محدد</w:t>
            </w:r>
          </w:p>
        </w:tc>
      </w:tr>
    </w:tbl>
    <w:p>
      <w:pPr>
        <w:spacing w:after="200"/>
      </w:pPr>
    </w:p>
    <w:p>
      <w:pPr>
        <w:spacing w:before="240" w:after="80"/>
        <w:jc w:val="right"/>
        <w:keepNext/>
        <w:bidi w:val="1"/>
      </w:pPr>
      <w:r>
        <w:rPr>
          <w:rFonts w:ascii="Arial" w:hAnsi="Arial"/>
          <w:b/>
          <w:i w:val="0"/>
          <w:color w:val="2B6CB0"/>
          <w:sz w:val="25"/>
          <w:rFonts w:ascii="Arial" w:hAnsi="Arial" w:cs="Arial"/>
          <w:rtl w:val="1"/>
        </w:rPr>
        <w:t>4. إدارة وحجز الجلسات الاستشارية (/api/bookings)</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/api/bookings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(مستخدم)</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حجز موعد استشارة مع منع التعارض الزمني والتشفير</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/api/bookings/my</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(مستخدم)</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كافة الحجوزات السابقة والقادمة للمريض</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PATCH</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/api/bookings/:id/cancel</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(المالك / مشرف)</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إلغاء حجز الجلسة وإلغاء تذكيراتها المؤتمتة</w:t>
            </w:r>
          </w:p>
        </w:tc>
      </w:tr>
    </w:tbl>
    <w:p>
      <w:pPr>
        <w:spacing w:after="200"/>
      </w:pPr>
    </w:p>
    <w:p>
      <w:pPr>
        <w:spacing w:before="240" w:after="80"/>
        <w:jc w:val="right"/>
        <w:keepNext/>
        <w:bidi w:val="1"/>
      </w:pPr>
      <w:r>
        <w:rPr>
          <w:rFonts w:ascii="Arial" w:hAnsi="Arial"/>
          <w:b/>
          <w:i w:val="0"/>
          <w:color w:val="2B6CB0"/>
          <w:sz w:val="25"/>
          <w:rFonts w:ascii="Arial" w:hAnsi="Arial" w:cs="Arial"/>
          <w:rtl w:val="1"/>
        </w:rPr>
        <w:t>5. عمليات الدفع وبوابة فيزا (/api/payments)</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/api/payments/create-session</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(Rate Limit)</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إنشاء جلسة دفع مستضافة واستخراج رابط التحويل</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/api/payments/webhook</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(توقيع + IP)</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استقبال إشعارات إتمام الدفع وتأكيد الحجز آلياً</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/api/payments/:paymentId/status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(المالك / مشرف)</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الاستعلام المباشر عن حالة العملية من قاعدة البيانات</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/api/payments/booking/:bookingId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(المالك / مشرف)</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تفاصيل الدفع المرتبطة بحجز محدد</w:t>
            </w:r>
          </w:p>
        </w:tc>
      </w:tr>
    </w:tbl>
    <w:p>
      <w:pPr>
        <w:spacing w:after="200"/>
      </w:pPr>
    </w:p>
    <w:p>
      <w:pPr>
        <w:spacing w:before="240" w:after="80"/>
        <w:jc w:val="right"/>
        <w:keepNext/>
        <w:bidi w:val="1"/>
      </w:pPr>
      <w:r>
        <w:rPr>
          <w:rFonts w:ascii="Arial" w:hAnsi="Arial"/>
          <w:b/>
          <w:i w:val="0"/>
          <w:color w:val="2B6CB0"/>
          <w:sz w:val="25"/>
          <w:rFonts w:ascii="Arial" w:hAnsi="Arial" w:cs="Arial"/>
          <w:rtl w:val="1"/>
        </w:rPr>
        <w:t>6. بوابة الأخصائي النفسي (/api/specialist)</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/api/specialist/profile</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الملف المهني والإحصائيات الخاصة بالأخصائي</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/api/specialist/bookings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جدول مواعيد الجلسات المحجوزة لدى الأخصائي</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PATCH</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/api/specialist/bookings/:id/confirm</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تأكيد موعد الجلسة يدوياً وتفعيل جدول التذكيرات</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/api/specialist/bookings/:id/send-link</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إرسال رابط الاجتماع الافتراضي للمريض عبر واتساب</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/api/specialist/session/:id</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عرض تفاصيل الجلسة والمعلومات الطبية لملف المريض</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/api/specialist/articles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المقالات المنشورة والمسودات الخاصة بالأخصائي</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/api/specialist/articles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كتابة ونشر مقال توعوي جديد في المنصة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DELETE</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/api/specialist/articles/:id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(أخصائي)</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حذف مقال منشور خاص بالأخصائي</w:t>
            </w:r>
          </w:p>
        </w:tc>
      </w:tr>
    </w:tbl>
    <w:p>
      <w:pPr>
        <w:spacing w:after="200"/>
      </w:pPr>
    </w:p>
    <w:p>
      <w:pPr>
        <w:spacing w:before="240" w:after="80"/>
        <w:jc w:val="right"/>
        <w:keepNext/>
        <w:bidi w:val="1"/>
      </w:pPr>
      <w:r>
        <w:rPr>
          <w:rFonts w:ascii="Arial" w:hAnsi="Arial"/>
          <w:b/>
          <w:i w:val="0"/>
          <w:color w:val="2B6CB0"/>
          <w:sz w:val="25"/>
          <w:rFonts w:ascii="Arial" w:hAnsi="Arial" w:cs="Arial"/>
          <w:rtl w:val="1"/>
        </w:rPr>
        <w:t>7. مقالات الدعم والتوعية النفسية للجمهور (/api/articles)</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/api/articles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للعموم</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استرجاع المقالات المنشورة المعتمدة حسب التصنيف</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/api/articles/:id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للعموم</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قراءة المقال النفسي الكامل مع بيانات الأخصائي الكاتب</w:t>
            </w:r>
          </w:p>
        </w:tc>
      </w:tr>
    </w:tbl>
    <w:p>
      <w:pPr>
        <w:spacing w:after="200"/>
      </w:pPr>
    </w:p>
    <w:p>
      <w:pPr>
        <w:spacing w:before="240" w:after="80"/>
        <w:jc w:val="right"/>
        <w:keepNext/>
        <w:bidi w:val="1"/>
      </w:pPr>
      <w:r>
        <w:rPr>
          <w:rFonts w:ascii="Arial" w:hAnsi="Arial"/>
          <w:b/>
          <w:i w:val="0"/>
          <w:color w:val="2B6CB0"/>
          <w:sz w:val="25"/>
          <w:rFonts w:ascii="Arial" w:hAnsi="Arial" w:cs="Arial"/>
          <w:rtl w:val="1"/>
        </w:rPr>
        <w:t>8. برامج الرعاية والشراكات المؤسسية B2B (/api/b2b-requests)</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/api/b2b-requests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(مستخدم)</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تقديم طلب اعتماد رعاية نفسية لموظفي شركة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/api/b2b-requests/my</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محمي (مستخدم)</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متابعة حالة طلبات الشراكة المقدمة وتحديثاتها</w:t>
            </w:r>
          </w:p>
        </w:tc>
      </w:tr>
    </w:tbl>
    <w:p>
      <w:pPr>
        <w:spacing w:after="200"/>
      </w:pPr>
    </w:p>
    <w:p>
      <w:pPr>
        <w:spacing w:before="240" w:after="80"/>
        <w:jc w:val="right"/>
        <w:keepNext/>
        <w:bidi w:val="1"/>
      </w:pPr>
      <w:r>
        <w:rPr>
          <w:rFonts w:ascii="Arial" w:hAnsi="Arial"/>
          <w:b/>
          <w:i w:val="0"/>
          <w:color w:val="2B6CB0"/>
          <w:sz w:val="25"/>
          <w:rFonts w:ascii="Arial" w:hAnsi="Arial" w:cs="Arial"/>
          <w:rtl w:val="1"/>
        </w:rPr>
        <w:t>9. لوحة تحكم الإدارة العليا (/api/admin)</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/api/admin/dashboard</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إحصائيات المنصة الشاملة، الإيرادات، والحجوزات النشطة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/api/admin/users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عرض قائمة المستخدمين المسجلين في النظام</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/api/admin/users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إنشاء حساب مستخدم جديد يدوياً من الإدارة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PATCH</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/api/admin/users/:id/status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تعديل حالة حساب المستخدم (نشط، موقوف، معطل)</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DELETE</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/api/admin/users/:id</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حذف حساب المستخدم من النظام</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/api/admin/specialists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قائمة الأخصائيين المعتمدين والمتقدمين</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/api/admin/specialists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وتعيين أخصائي نفسي جديد في المنصة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DELETE</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/api/admin/specialists/:id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إلغاء اعتماد وحذف حساب أخصائي</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/api/admin/bookings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سجل كافة الحجوزات على مستوى النظام مع بيانات المرضى</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PATCH</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/api/admin/bookings/:id/status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تعديل حالة الحجز يدوياً (مكتمل، ملغي، لم يحضر)</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/api/admin/services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عرض قائمة الخدمات والبرامج الاستشارية المتاحة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/api/admin/services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خدمة أو برنامج استشاري جديد</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/api/admin/companies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الشركات المعتمدة ضمن برامج B2B</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POST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/api/admin/companies</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تسجيل واعتماد ملف شركة شريكة جديدة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/api/admin/b2b-requests</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طلبات رعاية الشركات المعلقة للمراجعة</w:t>
            </w:r>
          </w:p>
        </w:tc>
      </w:tr>
      <w:tr>
        <w:tc>
          <w:tcPr>
            <w:tcW w:type="dxa" w:w="1296"/>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PATCH</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/api/admin/b2b-requests/:id</w:t>
            </w:r>
          </w:p>
        </w:tc>
        <w:tc>
          <w:tcPr>
            <w:tcW w:type="dxa" w:w="216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مشرف (Admin)</w:t>
            </w:r>
          </w:p>
        </w:tc>
        <w:tc>
          <w:tcPr>
            <w:tcW w:type="dxa" w:w="3600"/>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اعتماد أو رفض طلب رعاية الشركة مع تدوين السبب</w:t>
            </w:r>
          </w:p>
        </w:tc>
      </w:tr>
    </w:tbl>
    <w:p>
      <w:pPr>
        <w:spacing w:after="200"/>
      </w:pPr>
    </w:p>
    <w:p>
      <w:pPr>
        <w:spacing w:before="240" w:after="80"/>
        <w:jc w:val="right"/>
        <w:keepNext/>
        <w:bidi w:val="1"/>
      </w:pPr>
      <w:r>
        <w:rPr>
          <w:rFonts w:ascii="Arial" w:hAnsi="Arial"/>
          <w:b/>
          <w:i w:val="0"/>
          <w:color w:val="2B6CB0"/>
          <w:sz w:val="25"/>
          <w:rFonts w:ascii="Arial" w:hAnsi="Arial" w:cs="Arial"/>
          <w:rtl w:val="1"/>
        </w:rPr>
        <w:t>10. فحص الجاهزية والخدمة (/api/health)</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129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المنهج</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المسار</w:t>
            </w:r>
          </w:p>
        </w:tc>
        <w:tc>
          <w:tcPr>
            <w:tcW w:type="dxa" w:w="216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الحماية</w:t>
            </w:r>
          </w:p>
        </w:tc>
        <w:tc>
          <w:tcPr>
            <w:tcW w:type="dxa" w:w="360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والوظيفة</w:t>
            </w:r>
          </w:p>
        </w:tc>
      </w:tr>
      <w:tr>
        <w:tc>
          <w:tcPr>
            <w:tcW w:type="dxa" w:w="1296"/>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GET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/api/health</w:t>
            </w:r>
          </w:p>
        </w:tc>
        <w:tc>
          <w:tcPr>
            <w:tcW w:type="dxa" w:w="216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مفتوح للعموم</w:t>
            </w:r>
          </w:p>
        </w:tc>
        <w:tc>
          <w:tcPr>
            <w:tcW w:type="dxa" w:w="3600"/>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فحص دوري لحالة الخادم، الجاهزية، والطابع الزمني</w:t>
            </w:r>
          </w:p>
        </w:tc>
      </w:tr>
    </w:tbl>
    <w:p>
      <w:pPr>
        <w:spacing w:after="200"/>
      </w:pP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الرابع: متغيرات البيئة وإعدادات التشغيل (.env)</w:t>
      </w:r>
    </w:p>
    <w:p>
      <w:pPr>
        <w:spacing w:before="40" w:after="80" w:line="288" w:lineRule="auto"/>
        <w:jc w:val="right"/>
        <w:bidi w:val="1"/>
      </w:pPr>
      <w:r>
        <w:rPr>
          <w:rFonts w:ascii="Arial" w:hAnsi="Arial"/>
          <w:b w:val="0"/>
          <w:i w:val="0"/>
          <w:color w:val="1A202C"/>
          <w:sz w:val="21"/>
          <w:rFonts w:ascii="Arial" w:hAnsi="Arial" w:cs="Arial"/>
          <w:rtl w:val="1"/>
        </w:rPr>
        <w:t>تعتمد المنصة على المتغيرات المحددة في الجدول أدناه لضبط البيئة والأمان وبوابات الدفع والتواصل:</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rPr>
          <w:tblHeader/>
        </w:trPr>
        <w:tc>
          <w:tcPr>
            <w:tcW w:type="dxa" w:w="3024"/>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المتغير البرمجي</w:t>
            </w:r>
          </w:p>
        </w:tc>
        <w:tc>
          <w:tcPr>
            <w:tcW w:type="dxa" w:w="3168"/>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القيمة النموذجية أو الافتراضية</w:t>
            </w:r>
          </w:p>
        </w:tc>
        <w:tc>
          <w:tcPr>
            <w:tcW w:type="dxa" w:w="403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الوصف الوظيفي والأمني</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PORT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5000</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منفذ تشغيل خادم Express على الشبكة المحلية أو السحابية</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DATABASE_URL</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postgresql://user:pass@host:5432/psyai</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رابط الاتصال المشفر بقاعدة بيانات PostgreSQL</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JWT_SECRET</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64-char-hex-secret</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المفتاح السري لتوقيع والتحقق من رموز الجلسة (JWT)</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DB_ENCRYPTION_KEY</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64-char-hex-key (32 bytes)</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مفتاح التشفير الرئيسي لخوارزمية AES-256-GCM المشفرة للحقول</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BLIND_INDEX_PEPPER</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secret-pepper-string</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ملح التجزئة المعزول لتوليد الفهارس العمياء للهواتف والإيميلات</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OTP_PEPPER</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kms-pepper-secret</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ملح إضافي لتجزئة وحماية رموز التحقق المؤقتة OTP</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WHATSAPP_PROVIDER</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meta أو simulator</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مزود خدمة رسائل واتساب (السحابي الرسمي أو المحاكي المحلي)</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WHATSAPP_API_TOKEN</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EAA...</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رمز التفويض الدائم للوصول إلى Meta Cloud API</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WHATSAPP_PHONE_NUMBER_ID</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123456789...</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المعرف الرقمي لحساب هاتف واتساب المعتمد للمنصة</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PAYMENT_GATEWAY</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visa أو simulator</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مزود خدمة الدفع (بوابة فيزا المعتمدة أو المحاكي)</w:t>
            </w:r>
          </w:p>
        </w:tc>
      </w:tr>
      <w:tr>
        <w:tc>
          <w:tcPr>
            <w:tcW w:type="dxa" w:w="3024"/>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VISA_CHECKOUT_API_KEY</w:t>
            </w:r>
          </w:p>
        </w:tc>
        <w:tc>
          <w:tcPr>
            <w:tcW w:type="dxa" w:w="3168"/>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visa-key...</w:t>
            </w:r>
          </w:p>
        </w:tc>
        <w:tc>
          <w:tcPr>
            <w:tcW w:type="dxa" w:w="403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مفتاح المصادقة على طلبات جلسات الدفع لدى فيزا</w:t>
            </w:r>
          </w:p>
        </w:tc>
      </w:tr>
      <w:tr>
        <w:tc>
          <w:tcPr>
            <w:tcW w:type="dxa" w:w="3024"/>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VISA_WEBHOOK_SECRET</w:t>
            </w:r>
          </w:p>
        </w:tc>
        <w:tc>
          <w:tcPr>
            <w:tcW w:type="dxa" w:w="3168"/>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hmac-secret...</w:t>
            </w:r>
          </w:p>
        </w:tc>
        <w:tc>
          <w:tcPr>
            <w:tcW w:type="dxa" w:w="403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المفتاح السري للتحقق من صحة توقيع إشعارات الـ Webhook</w:t>
            </w:r>
          </w:p>
        </w:tc>
      </w:tr>
    </w:tbl>
    <w:p>
      <w:pPr>
        <w:spacing w:after="200"/>
      </w:pP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الخامس: الخدمات الخلفية والمهام المؤتمتة (Cron Jobs)</w:t>
      </w:r>
    </w:p>
    <w:p>
      <w:pPr>
        <w:spacing w:before="40" w:after="80" w:line="288" w:lineRule="auto"/>
        <w:jc w:val="right"/>
        <w:bidi w:val="1"/>
      </w:pPr>
      <w:r>
        <w:rPr>
          <w:rFonts w:ascii="Arial" w:hAnsi="Arial"/>
          <w:b w:val="0"/>
          <w:i w:val="0"/>
          <w:color w:val="1A202C"/>
          <w:sz w:val="21"/>
          <w:rFonts w:ascii="Arial" w:hAnsi="Arial" w:cs="Arial"/>
          <w:rtl w:val="1"/>
        </w:rPr>
        <w:t>تتضمن المنصة عاملاً خلفياً (ReminderWorker) يعمل بشكل دوري ومؤتمت لمعالجة تذكيرات الجلسات وإرسال الإشعارات على مدار الساعة: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دورية التشغيل: </w:t>
      </w:r>
      <w:r>
        <w:rPr>
          <w:rFonts w:ascii="Arial" w:hAnsi="Arial"/>
          <w:b w:val="0"/>
          <w:i w:val="0"/>
          <w:color w:val="1A202C"/>
          <w:sz w:val="20"/>
          <w:rFonts w:ascii="Arial" w:hAnsi="Arial" w:cs="Arial"/>
          <w:rtl w:val="1"/>
        </w:rPr>
        <w:t>دورة العمل: يتم تشغيل المهمة كل 60 ثانية (* * * * *) لاستخراج التذكيرات المستحقة حتى اللحظة الحالية.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مستويات التذكير: </w:t>
      </w:r>
      <w:r>
        <w:rPr>
          <w:rFonts w:ascii="Arial" w:hAnsi="Arial"/>
          <w:b w:val="0"/>
          <w:i w:val="0"/>
          <w:color w:val="1A202C"/>
          <w:sz w:val="20"/>
          <w:rFonts w:ascii="Arial" w:hAnsi="Arial" w:cs="Arial"/>
          <w:rtl w:val="1"/>
        </w:rPr>
        <w:t>تذكير قبل 24 ساعة (reminder_24h): إشعار تذكيري يرسل للمريض عبر واتساب قبل موعد الجلسة بيوم كامل لتأكيد الاستعداد.</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مستويات التذكير: </w:t>
      </w:r>
      <w:r>
        <w:rPr>
          <w:rFonts w:ascii="Arial" w:hAnsi="Arial"/>
          <w:b w:val="0"/>
          <w:i w:val="0"/>
          <w:color w:val="1A202C"/>
          <w:sz w:val="20"/>
          <w:rFonts w:ascii="Arial" w:hAnsi="Arial" w:cs="Arial"/>
          <w:rtl w:val="1"/>
        </w:rPr>
        <w:t>تذكير قبل ساعة واحدة (reminder_1h): إشعار لتنبيه المريض للتحضير التقني وجودة الاتصال بالإنترنت.</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مستويات التذكير: </w:t>
      </w:r>
      <w:r>
        <w:rPr>
          <w:rFonts w:ascii="Arial" w:hAnsi="Arial"/>
          <w:b w:val="0"/>
          <w:i w:val="0"/>
          <w:color w:val="1A202C"/>
          <w:sz w:val="20"/>
          <w:rFonts w:ascii="Arial" w:hAnsi="Arial" w:cs="Arial"/>
          <w:rtl w:val="1"/>
        </w:rPr>
        <w:t>رابط الدخول قبل 10 دقائق (session_link): إشعار فوري يتضمن الرابط المباشر للغرفة الافتراضية مع الأخصائي.</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إدارة الحالات: </w:t>
      </w:r>
      <w:r>
        <w:rPr>
          <w:rFonts w:ascii="Arial" w:hAnsi="Arial"/>
          <w:b w:val="0"/>
          <w:i w:val="0"/>
          <w:color w:val="1A202C"/>
          <w:sz w:val="20"/>
          <w:rFonts w:ascii="Arial" w:hAnsi="Arial" w:cs="Arial"/>
          <w:rtl w:val="1"/>
        </w:rPr>
        <w:t>معالجة التضارب وحالات الإلغاء: تعتمد العمليات على قيود حصرية تمنع تكرار الإرسال وتلغي التذكيرات تلقائياً عند إلغاء الحجز.</w:t>
      </w: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السادس: جدول المهام البرمجية المطلوبة للمطورين</w:t>
      </w:r>
    </w:p>
    <w:tbl>
      <w:tblPr>
        <w:tblW w:type="auto" w:w="0"/>
        <w:jc w:val="center"/>
        <w:tblLook w:firstColumn="1" w:firstRow="1" w:lastColumn="0" w:lastRow="0" w:noHBand="0" w:noVBand="1" w:val="04A0"/>
        <w:bidiVisual/>
      </w:tblPr>
      <w:tblGrid>
        <w:gridCol w:w="9605"/>
      </w:tblGrid>
      <w:tr>
        <w:tc>
          <w:tcPr>
            <w:tcW w:type="dxa" w:w="9605"/>
            <w:shd w:fill="EFF6FF"/>
            <w:tcMar>
              <w:top w:w="100" w:type="dxa"/>
              <w:bottom w:w="100" w:type="dxa"/>
              <w:left w:w="150" w:type="dxa"/>
              <w:right w:w="150" w:type="dxa"/>
            </w:tcMar>
            <w:tcBorders>
              <w:top w:val="none"/>
              <w:bottom w:val="none"/>
              <w:left w:val="none"/>
              <w:right w:val="single" w:sz="24" w:space="0" w:color="3B82F6"/>
            </w:tcBorders>
          </w:tcPr>
          <w:p>
            <w:pPr>
              <w:spacing w:before="40" w:after="40"/>
              <w:jc w:val="right"/>
              <w:bidi w:val="1"/>
            </w:pPr>
            <w:r>
              <w:rPr>
                <w:rFonts w:ascii="Arial" w:hAnsi="Arial"/>
                <w:b/>
                <w:i w:val="0"/>
                <w:color w:val="1E40AF"/>
                <w:sz w:val="20"/>
                <w:rFonts w:ascii="Arial" w:hAnsi="Arial" w:cs="Arial"/>
                <w:rtl w:val="1"/>
              </w:rPr>
              <w:t xml:space="preserve">تعليمات التنفيذ للمطور: </w:t>
            </w:r>
            <w:r>
              <w:rPr>
                <w:rFonts w:ascii="Arial" w:hAnsi="Arial"/>
                <w:b w:val="0"/>
                <w:i w:val="0"/>
                <w:color w:val="1E3A8A"/>
                <w:sz w:val="20"/>
                <w:rFonts w:ascii="Arial" w:hAnsi="Arial" w:cs="Arial"/>
                <w:rtl w:val="1"/>
              </w:rPr>
              <w:t>تنبيه هام لفريق التطوير: يجب تنفيذ المهام بالترتيب الصارم الموضح في هذا القسم. يتم تحديث مخطط قاعدة البيانات (Schema) أولاً ثم تشغيل عمليات التهجير (Migration) وإنشاء العميل البرمجي (generate)، تليها معالجة الأخطاء المنطقية والتشغيلية في الكود البرمجي.</w:t>
            </w:r>
          </w:p>
        </w:tc>
      </w:tr>
    </w:tbl>
    <w:p>
      <w:pPr>
        <w:spacing w:after="120"/>
      </w:pPr>
    </w:p>
    <w:p>
      <w:pPr>
        <w:spacing w:before="240" w:after="80"/>
        <w:jc w:val="right"/>
        <w:keepNext/>
        <w:bidi w:val="1"/>
      </w:pPr>
      <w:r>
        <w:rPr>
          <w:rFonts w:ascii="Arial" w:hAnsi="Arial"/>
          <w:b/>
          <w:i w:val="0"/>
          <w:color w:val="2B6CB0"/>
          <w:sz w:val="25"/>
          <w:rFonts w:ascii="Arial" w:hAnsi="Arial" w:cs="Arial"/>
          <w:rtl w:val="1"/>
        </w:rPr>
        <w:t>المستوى الأول: مهام حرجة (توقف عمل النظام وتسبب انهيار الخادم)</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rPr>
          <w:tblHeader/>
        </w:trPr>
        <w:tc>
          <w:tcPr>
            <w:tcW w:type="dxa" w:w="144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الرمز</w:t>
            </w:r>
          </w:p>
        </w:tc>
        <w:tc>
          <w:tcPr>
            <w:tcW w:type="dxa" w:w="259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عنوان المهمة</w:t>
            </w:r>
          </w:p>
        </w:tc>
        <w:tc>
          <w:tcPr>
            <w:tcW w:type="dxa" w:w="2304"/>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الملف المعني</w:t>
            </w:r>
          </w:p>
        </w:tc>
        <w:tc>
          <w:tcPr>
            <w:tcW w:type="dxa" w:w="115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رقم السطر</w:t>
            </w:r>
          </w:p>
        </w:tc>
        <w:tc>
          <w:tcPr>
            <w:tcW w:type="dxa" w:w="273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وصف المشكلة والمتطلبات البرمجية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TASK-001</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نموذج Company لقاعدة البيانات</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نهاية الملف</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المتحكم يستدعي prisma.company في إحصائيات الإدارة والشركات ولكن النموذج غير معرّف بالـ Schema، مما يعطل خدمات الإدارة.</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TASK-002</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نموذج Service لقاعدة البيانات</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نهاية الملف</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المتحكم يستدعي prisma.service لاستعراض وإنشاء الخدمات الاستشارية ولكن النموذج مفقود كلياً.</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TASK-003</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نموذج PasswordResetToken</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نهاية الملف</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عمليات استعادة وتعيين كلمة المرور تستدعي هذا النموذج المعطوف على المستخدم ولكنه غير موجود.</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TASK-004</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الحقول المفقودة في Specialist</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نموذج Specialist</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الحقول (status, gender, expYears, avatar) معتمدة في كود المتحكمات لكنها غير معرّفة بالـ Schema.</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TASK-005</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حقل confirmedAt في Booking</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نموذج Booking</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تسجيل تأكيد الجلسة في معالج الدفع وبوابة الأخصائي يكتبان بحقل غير معرف في جدول الحجوزات.</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TASK-006</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نموذج المقالات Article وحقوله</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نموذج Article</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النموذج يعرف حقل body بينما الكود يعتمد content، مع غياب حقول أساسية مثل ملخص المقال وبيانات الكاتب.</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TASK-029</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تمرير حقل userId الإلزامي عند إنشاء أخصائي</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200–213</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إنشاء الأخصائي يفشل حتماً بـ Argument missing لعدم تمرير userId أو كائن الحساب المرتبط الواجب وجوده.</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TASK-030</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وسيط المفتاح المركب في upsert التذكيرات</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src/services/reminderWorker.js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237–239</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يستعلم بـ unique_booking_reminder بينما يولد Prisma المفتاح باسم bookingId_reminderType، مما يعطل العامل الخلفي.</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TASK-031</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إزالة استعلام avatar غير المعرّف في الحجوزات</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src/controllers/bookingsController.js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68، 121</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استعلامات الحجز تطلب avatar للأخصائي وهو غير معرّف في النموذج الحالي، مما يسقط استجابات الحجز بـ ValidationError.</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TASK-032</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توسيع حجم حقلي الأسماء في Schema لملائمة التشفير</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125–126</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تشفير الأسماء بـ AES-256-GCM يتجاوز 100 حرف بالأسماء العربية. النوع الحالي VarChar(100) يسقط التسجيل.</w:t>
            </w:r>
          </w:p>
        </w:tc>
      </w:tr>
    </w:tbl>
    <w:p>
      <w:pPr>
        <w:spacing w:after="200"/>
      </w:pPr>
    </w:p>
    <w:p>
      <w:pPr>
        <w:spacing w:before="240" w:after="80"/>
        <w:jc w:val="right"/>
        <w:keepNext/>
        <w:bidi w:val="1"/>
      </w:pPr>
      <w:r>
        <w:rPr>
          <w:rFonts w:ascii="Arial" w:hAnsi="Arial"/>
          <w:b/>
          <w:i w:val="0"/>
          <w:color w:val="2B6CB0"/>
          <w:sz w:val="25"/>
          <w:rFonts w:ascii="Arial" w:hAnsi="Arial" w:cs="Arial"/>
          <w:rtl w:val="1"/>
        </w:rPr>
        <w:t>المستوى الثاني: أخطاء منطقية وتشغيلية في تدفق البيانات والأمان</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rPr>
          <w:tblHeader/>
        </w:trPr>
        <w:tc>
          <w:tcPr>
            <w:tcW w:type="dxa" w:w="144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الرمز</w:t>
            </w:r>
          </w:p>
        </w:tc>
        <w:tc>
          <w:tcPr>
            <w:tcW w:type="dxa" w:w="259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عنوان المهمة</w:t>
            </w:r>
          </w:p>
        </w:tc>
        <w:tc>
          <w:tcPr>
            <w:tcW w:type="dxa" w:w="2304"/>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الملف المعني</w:t>
            </w:r>
          </w:p>
        </w:tc>
        <w:tc>
          <w:tcPr>
            <w:tcW w:type="dxa" w:w="115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رقم السطر</w:t>
            </w:r>
          </w:p>
        </w:tc>
        <w:tc>
          <w:tcPr>
            <w:tcW w:type="dxa" w:w="273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وصف المشكلة والمتطلبات البرمجية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TASK-007</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توحيد مسمى معرف المعاملة transactionId</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src/controllers/specialistPortalController.js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99</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الكود يستعلم عن transactionRef بينما الاسم المعتمد في نموذج المدفوعات هو transactionId.</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TASK-008</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البحث في استعادة كلمة المرور</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src/controllers/authController.js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412–413</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البحث المباشر بـ email يفشل لكونه حقلاً مشفراً؛ يجب البحث باستخدام بصمة الفهرس emailHash.</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TASK-009</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البحث في التحقق من رقم الهاتف</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src/controllers/authController.js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140–147</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البحث المباشر برقم الهاتف غير مجدٍ؛ يجب الاعتماد على بصمة التجزئة المطابقة phoneHash.</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TASK-010</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وسيط المصادقة لجلب الحقول المشفرة</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src/middlewares/auth.js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44–57</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استعلام المستخدم يطلب email و phone مباشرة؛ يجب طلب الحقول المشفرة ثم فك تشفيرها قبل الحقن.</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TASK-011</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تطبيق التشفير في إنشاء مستخدم من الإدارة</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109–131</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إنشاء المستخدم يكتب نصوصاً غير مشفرة مباشرة للبيانات الحساسة، مخالفاً معايير الأمان المعتمدة.</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TASK-012</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فك تشفير بيانات المرضى في تقارير الإدارة</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248–264</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استعراض الحجوزات يعيد نصوصاً مشفرة للمشرف؛ يجب استخدام خدمة فك التشفير قبل الإرجاع.</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TASK-013</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شرط حالة الدفع في لوحة الإحصائيات</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19</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البحث يعتمد status: 'paid' بينما القيمة المعرفة في الـ Enum بقاعدة البيانات هي 'SUCCEEDED'.</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TASK-014</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otpCode لمخطط التحقق registerSchema</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src/middlewares/validate.js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23–34</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متحكم التسجيل يقرأ otpCode بينما يحذفه Zod تلقائياً قبل الوصول لعدم تضمينه في المخطط.</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TASK-015</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استعلام البريد في تسجيل Google</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src/controllers/authController.js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693–703</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البحث المباشر بالبريد غير مدعوم؛ يجب البحث حصراً عن طريق الفهرس الأعمى emailHash.</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TASK-016</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فحص تعارض الهاتف في تسجيل Google</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src/controllers/authController.js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783–791</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التحقق من عدم تكرار الهاتف يجب أن يتم بواسطة phoneHash لضمان دقة المطابقة.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TASK-017</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مطابقة حقول نموذج سجل الرقابة AuditLog</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335–349</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خدمة الرقابة تكتب حقولاً (actorId, ipHash, result) غير معرّفة بالـ Schema، مما يعطل حفظ السجلات.</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TASK-018</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الحقول المفقودة في نموذج طلبات B2B</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prisma/schema.prisma</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298–318</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الخدمة تكتب companyPhone و companyEmail و reviewedAt بينما الـ Schema تتضمن مسميات أخرى.</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TASK-019</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إلغاء الربط التلقائي العشوائي في بوابة الأخصائي</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src/controllers/specialistPortalController.js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36–44</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الربط الافتراضي بأول أخصائي في النظام عند تعذر العثور عليه يمثل ثغرة أمنية فادحة تكشف بيانات الغير.</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TASK-020</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مسمى حقل الحالة النفسية في الحجوزات</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src/controllers/specialistPortalController.js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91</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الاستعلام يطلب condition مباشرة بينما الاسم الفعلي المخزن هو conditionEncrypted.</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TASK-021</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جلب بيانات المستخدم في لوحة الإدارة</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29–36</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الاستعلام يطلب email و phone مباشرة؛ يجب استبدالها بالحقول المشفرة واستدعاء فك التشفير.</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TASK-022</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استعلام بيانات المشرف في طلبات الشركات</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src/services/b2bService.js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127–141</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الاستعلام يطلب حقول الاتصال المباشرة للمشرف؛ يجب طلب الحقول المشفرة ثم فك التشفير.</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TASK-033</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وسائط إرسال رسائل التذكير عبر واتساب</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src/services/reminderWorker.js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137 و 122</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العامل الخلفي يرسل نص التذكير كمعامل ثالث بينما الدالة تستقبل اثنين فقط، مما يرسل رسائل خاطئة للمرضى.</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TASK-034</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استبدال sessionUrl برابط الاجتماع meetingLink</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src/controllers/bookingsController.js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131</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الكود يقرأ sessionUrl وهو غير معرف، مما يتجاهل رابط الاجتماع الفعلي المخزن للجلسة.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TASK-035</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معالجة قيود الحذف المقيد onDelete: Restrict</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156–164</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حذف المستخدمين يسقط بـ P2003 لوجود حجوزات أو مدفوعات مرتبطة؛ يجب تفعيل التعطيل المنطقي.</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TASK-036</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تصحيح جلب بيانات المراجع في اعتماد طلبات الشركات</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src/services/b2bService.js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187–188</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استعلام المراجعة يطلب email و phone للمستخدم مباشرة دون فك التشفير.</w:t>
            </w:r>
          </w:p>
        </w:tc>
      </w:tr>
    </w:tbl>
    <w:p>
      <w:pPr>
        <w:spacing w:after="200"/>
      </w:pPr>
    </w:p>
    <w:p>
      <w:pPr>
        <w:spacing w:before="240" w:after="80"/>
        <w:jc w:val="right"/>
        <w:keepNext/>
        <w:bidi w:val="1"/>
      </w:pPr>
      <w:r>
        <w:rPr>
          <w:rFonts w:ascii="Arial" w:hAnsi="Arial"/>
          <w:b/>
          <w:i w:val="0"/>
          <w:color w:val="2B6CB0"/>
          <w:sz w:val="25"/>
          <w:rFonts w:ascii="Arial" w:hAnsi="Arial" w:cs="Arial"/>
          <w:rtl w:val="1"/>
        </w:rPr>
        <w:t>المستوى الثالث: تحسينات وتطويرات تنظيمية وهيكلية</w:t>
      </w:r>
    </w:p>
    <w:tbl>
      <w:tblPr>
        <w:tblW w:type="auto" w:w="0"/>
        <w:jc w:val="center"/>
        <w:tblLook w:firstColumn="1" w:firstRow="1" w:lastColumn="0" w:lastRow="0" w:noHBand="0" w:noVBand="1" w:val="04A0"/>
        <w:bidiVisual/>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rPr>
          <w:tblHeader/>
        </w:trPr>
        <w:tc>
          <w:tcPr>
            <w:tcW w:type="dxa" w:w="1440"/>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الرمز</w:t>
            </w:r>
          </w:p>
        </w:tc>
        <w:tc>
          <w:tcPr>
            <w:tcW w:type="dxa" w:w="259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عنوان المهمة</w:t>
            </w:r>
          </w:p>
        </w:tc>
        <w:tc>
          <w:tcPr>
            <w:tcW w:type="dxa" w:w="2304"/>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الملف المعني</w:t>
            </w:r>
          </w:p>
        </w:tc>
        <w:tc>
          <w:tcPr>
            <w:tcW w:type="dxa" w:w="1152"/>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رقم السطر</w:t>
            </w:r>
          </w:p>
        </w:tc>
        <w:tc>
          <w:tcPr>
            <w:tcW w:type="dxa" w:w="2736"/>
            <w:shd w:fill="1E3A8A"/>
            <w:tcMar>
              <w:top w:w="100" w:type="dxa"/>
              <w:bottom w:w="100" w:type="dxa"/>
              <w:left w:w="100" w:type="dxa"/>
              <w:right w:w="100" w:type="dxa"/>
            </w:tcMar>
          </w:tcPr>
          <w:p>
            <w:pPr>
              <w:jc w:val="right"/>
              <w:bidi w:val="1"/>
            </w:pPr>
            <w:r>
              <w:rPr>
                <w:rFonts w:ascii="Arial" w:hAnsi="Arial"/>
                <w:b/>
                <w:i w:val="0"/>
                <w:color w:val="FFFFFF"/>
                <w:sz w:val="19"/>
                <w:rFonts w:ascii="Arial" w:hAnsi="Arial" w:cs="Arial"/>
                <w:rtl w:val="1"/>
              </w:rPr>
              <w:t>وصف المشكلة والمتطلبات البرمجية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TASK-023</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إصلاح استدعاء دالة الانتقال في فلتر الـ Webhook</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src/middlewares/security.js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101</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الكلمة next مكتوبة كخاصية بدون أقواس استدعاء () مما يعلق معالجة إشعارات الدفع.</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TASK-024</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تنظيف وإزالة المخططات غير المستخدمة</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src/middlewares/validate.js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70–76</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المخطط visaPaymentSchema معرّف ومصدّر لكنه لا يُستخدم في أي مسار بعد الترقية لبوابة الدفع المستضافة.</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TASK-025</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تطبيق طبقة نقل بيانات DTO لبيانات الأخصائي</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src/controllers/specialistPortalController.js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60–63</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تصفية البيانات المعادة للملف المهني ومنع تسريب أي حقول أو معاملات تقنية داخلية.</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TASK-026</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الترقيم المكتبي Pagination لقائمة المستخدمين</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80–103</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جلب كافة المستخدمين دفعة واحدة يهدد أداء النظام مع نمو قاعدة البيانات.</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TASK-027</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الترقيم المكتبي لقائمة الأخصائيين</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src/controllers/adminController.js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169–191</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تطبيق الترقيم وتحديد عدد العناصر لكل صفحة لضمان استجابة سريعة للوحة التحكم.</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TASK-028</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فصل وتنظيم الروابط في ملفات مخصصة بمجلد routes</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src/routes/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المجلد فارغ</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تفكيك الروابط المعرفة مكدسة في index.js إلى وحدات مستقلة لكل قطاع وظيفي.</w:t>
            </w:r>
          </w:p>
        </w:tc>
      </w:tr>
      <w:tr>
        <w:tc>
          <w:tcPr>
            <w:tcW w:type="dxa" w:w="1440"/>
            <w:shd w:fill="FFFFFF"/>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TASK-037</w:t>
            </w:r>
          </w:p>
        </w:tc>
        <w:tc>
          <w:tcPr>
            <w:tcW w:type="dxa" w:w="259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تفعيل البحث غير الحساس لحالة الأحرف في الأخصائيين</w:t>
            </w:r>
          </w:p>
        </w:tc>
        <w:tc>
          <w:tcPr>
            <w:tcW w:type="dxa" w:w="2304"/>
            <w:shd w:fill="FFFFFF"/>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src/controllers/specialistsController.js</w:t>
            </w:r>
          </w:p>
        </w:tc>
        <w:tc>
          <w:tcPr>
            <w:tcW w:type="dxa" w:w="1152"/>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18–23</w:t>
            </w:r>
          </w:p>
        </w:tc>
        <w:tc>
          <w:tcPr>
            <w:tcW w:type="dxa" w:w="2736"/>
            <w:shd w:fill="FFFFFF"/>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استخدام mode: 'insensitive' لضمان إيجاد نتائج البحث اللاتينية بغض النظر عن حالة الأحرف.</w:t>
            </w:r>
          </w:p>
        </w:tc>
      </w:tr>
      <w:tr>
        <w:tc>
          <w:tcPr>
            <w:tcW w:type="dxa" w:w="1440"/>
            <w:shd w:fill="F8FAFC"/>
            <w:tcMar>
              <w:top w:w="80" w:type="dxa"/>
              <w:bottom w:w="80" w:type="dxa"/>
              <w:left w:w="100" w:type="dxa"/>
              <w:right w:w="100" w:type="dxa"/>
            </w:tcMar>
          </w:tcPr>
          <w:p>
            <w:pPr>
              <w:spacing w:before="20" w:after="20" w:line="276" w:lineRule="auto"/>
              <w:jc w:val="right"/>
              <w:bidi w:val="1"/>
            </w:pPr>
            <w:r>
              <w:rPr>
                <w:rFonts w:ascii="Arial" w:hAnsi="Arial"/>
                <w:b/>
                <w:i w:val="0"/>
                <w:color w:val="1B365D"/>
                <w:sz w:val="18"/>
                <w:rFonts w:ascii="Arial" w:hAnsi="Arial" w:cs="Arial"/>
                <w:rtl w:val="1"/>
              </w:rPr>
              <w:t>TASK-038</w:t>
            </w:r>
          </w:p>
        </w:tc>
        <w:tc>
          <w:tcPr>
            <w:tcW w:type="dxa" w:w="259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إضافة معالج مركزي موحد لأخطاء المسارات غير المعرفة</w:t>
            </w:r>
          </w:p>
        </w:tc>
        <w:tc>
          <w:tcPr>
            <w:tcW w:type="dxa" w:w="2304"/>
            <w:shd w:fill="F8FAFC"/>
            <w:tcMar>
              <w:top w:w="80" w:type="dxa"/>
              <w:bottom w:w="80" w:type="dxa"/>
              <w:left w:w="100" w:type="dxa"/>
              <w:right w:w="100" w:type="dxa"/>
            </w:tcMar>
          </w:tcPr>
          <w:p>
            <w:pPr>
              <w:spacing w:before="20" w:after="20" w:line="276" w:lineRule="auto"/>
              <w:jc w:val="right"/>
              <w:bidi w:val="1"/>
            </w:pPr>
            <w:r>
              <w:rPr>
                <w:rFonts w:ascii="Consolas" w:hAnsi="Consolas"/>
                <w:b w:val="0"/>
                <w:i w:val="0"/>
                <w:color w:val="1E293B"/>
                <w:sz w:val="17"/>
                <w:rFonts w:ascii="Consolas" w:hAnsi="Consolas" w:cs="Consolas"/>
                <w:rtl w:val="1"/>
              </w:rPr>
              <w:t>src/index.js</w:t>
            </w:r>
          </w:p>
        </w:tc>
        <w:tc>
          <w:tcPr>
            <w:tcW w:type="dxa" w:w="1152"/>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234–237</w:t>
            </w:r>
          </w:p>
        </w:tc>
        <w:tc>
          <w:tcPr>
            <w:tcW w:type="dxa" w:w="2736"/>
            <w:shd w:fill="F8FAFC"/>
            <w:tcMar>
              <w:top w:w="80" w:type="dxa"/>
              <w:bottom w:w="80" w:type="dxa"/>
              <w:left w:w="100" w:type="dxa"/>
              <w:right w:w="100" w:type="dxa"/>
            </w:tcMar>
          </w:tcPr>
          <w:p>
            <w:pPr>
              <w:spacing w:before="20" w:after="20" w:line="276" w:lineRule="auto"/>
              <w:jc w:val="right"/>
              <w:bidi w:val="1"/>
            </w:pPr>
            <w:r>
              <w:rPr>
                <w:rFonts w:ascii="Arial" w:hAnsi="Arial"/>
                <w:b w:val="0"/>
                <w:i w:val="0"/>
                <w:color w:val="1A202C"/>
                <w:sz w:val="18"/>
                <w:rFonts w:ascii="Arial" w:hAnsi="Arial" w:cs="Arial"/>
                <w:rtl w:val="1"/>
              </w:rPr>
              <w:t>اعتراض أي طلبات لمسارات غير موجودة بصيغة JSON 404 بدلاً من تحويلها لصفحات الفرونت إند.</w:t>
            </w:r>
          </w:p>
        </w:tc>
      </w:tr>
    </w:tbl>
    <w:p>
      <w:pPr>
        <w:spacing w:after="200"/>
      </w:pP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السابع: خطة ومراحل التنفيذ التقنية الموصى بها</w:t>
      </w:r>
    </w:p>
    <w:p>
      <w:pPr>
        <w:spacing w:before="40" w:after="80" w:line="288" w:lineRule="auto"/>
        <w:jc w:val="right"/>
        <w:bidi w:val="1"/>
      </w:pPr>
      <w:r>
        <w:rPr>
          <w:rFonts w:ascii="Arial" w:hAnsi="Arial"/>
          <w:b w:val="0"/>
          <w:i w:val="0"/>
          <w:color w:val="1A202C"/>
          <w:sz w:val="21"/>
          <w:rFonts w:ascii="Arial" w:hAnsi="Arial" w:cs="Arial"/>
          <w:rtl w:val="1"/>
        </w:rPr>
        <w:t>لضمان سلامة قاعدة البيانات وتفادي أي تعارضات برمجية أثناء المعالجة، يُلزم المطور باتباع المراحل الثلاث التالية: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المرحلة 1: </w:t>
      </w:r>
      <w:r>
        <w:rPr>
          <w:rFonts w:ascii="Arial" w:hAnsi="Arial"/>
          <w:b w:val="0"/>
          <w:i w:val="0"/>
          <w:color w:val="1A202C"/>
          <w:sz w:val="20"/>
          <w:rFonts w:ascii="Arial" w:hAnsi="Arial" w:cs="Arial"/>
          <w:rtl w:val="1"/>
        </w:rPr>
        <w:t>المرحلة الأولى (تحديث وتثبيت مخطط قاعدة البيانات): إنجاز المهام TASK-001 حتى TASK-006 بالإضافة لـ TASK-017 و TASK-018 و TASK-032 في ملف schema.prisma، ثم تشغيل أمر التهجير: npx prisma migrate dev --name fix-schema-models وتوليد العميل المحدث: npx prisma generate.</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المرحلة 2: </w:t>
      </w:r>
      <w:r>
        <w:rPr>
          <w:rFonts w:ascii="Arial" w:hAnsi="Arial"/>
          <w:b w:val="0"/>
          <w:i w:val="0"/>
          <w:color w:val="1A202C"/>
          <w:sz w:val="20"/>
          <w:rFonts w:ascii="Arial" w:hAnsi="Arial" w:cs="Arial"/>
          <w:rtl w:val="1"/>
        </w:rPr>
        <w:t>المرحلة الثانية (معالجة الأخطاء المنطقية وتدفق البيانات): إنجاز مهام التشفير والمصادقة والتحكم TASK-007 حتى TASK-022 بالإضافة لمهام الإنشاء والربط TASK-029 حتى TASK-036 والتأكد من مطابقة مدخلات ومخرجات كل وظيفة.</w:t>
      </w:r>
    </w:p>
    <w:p>
      <w:pPr>
        <w:spacing w:before="20" w:after="60" w:line="276" w:lineRule="auto"/>
        <w:ind w:right="288"/>
        <w:jc w:val="right"/>
        <w:bidi w:val="1"/>
      </w:pPr>
      <w:r>
        <w:rPr>
          <w:rFonts w:ascii="Arial" w:hAnsi="Arial"/>
          <w:b/>
          <w:i w:val="0"/>
          <w:color w:val="2B6CB0"/>
          <w:sz w:val="18"/>
          <w:rFonts w:ascii="Arial" w:hAnsi="Arial" w:cs="Arial"/>
          <w:rtl w:val="1"/>
        </w:rPr>
        <w:t xml:space="preserve">▪  </w:t>
      </w:r>
      <w:r>
        <w:rPr>
          <w:rFonts w:ascii="Arial" w:hAnsi="Arial"/>
          <w:b/>
          <w:i w:val="0"/>
          <w:color w:val="1B365D"/>
          <w:sz w:val="20"/>
          <w:rFonts w:ascii="Arial" w:hAnsi="Arial" w:cs="Arial"/>
          <w:rtl w:val="1"/>
        </w:rPr>
        <w:t xml:space="preserve">المرحلة 3: </w:t>
      </w:r>
      <w:r>
        <w:rPr>
          <w:rFonts w:ascii="Arial" w:hAnsi="Arial"/>
          <w:b w:val="0"/>
          <w:i w:val="0"/>
          <w:color w:val="1A202C"/>
          <w:sz w:val="20"/>
          <w:rFonts w:ascii="Arial" w:hAnsi="Arial" w:cs="Arial"/>
          <w:rtl w:val="1"/>
        </w:rPr>
        <w:t>المرحلة الثالثة (التحسينات الهيكلية والأداء): إنجاز المهام TASK-023 حتى TASK-028 بالإضافة لـ TASK-037 و TASK-038، وتنظيم الروابط وتفعيل معالجات الأخطاء الموحدة وترقيم الجداول.</w:t>
      </w:r>
    </w:p>
    <w:p>
      <w:pPr>
        <w:spacing w:before="320" w:after="120"/>
        <w:jc w:val="right"/>
        <w:keepNext/>
        <w:bidi w:val="1"/>
        <w:pBdr>
          <w:bottom w:val="single" w:sz="12" w:space="4" w:color="1B365D"/>
        </w:pBdr>
      </w:pPr>
      <w:r>
        <w:rPr>
          <w:rFonts w:ascii="Arial" w:hAnsi="Arial"/>
          <w:b/>
          <w:i w:val="0"/>
          <w:color w:val="1B365D"/>
          <w:sz w:val="30"/>
          <w:rFonts w:ascii="Arial" w:hAnsi="Arial" w:cs="Arial"/>
          <w:rtl w:val="1"/>
        </w:rPr>
        <w:t>القسم الثامن: تعليمات الفحص والتشغيل المحلي</w:t>
      </w:r>
    </w:p>
    <w:p>
      <w:pPr>
        <w:spacing w:before="40" w:after="80" w:line="288" w:lineRule="auto"/>
        <w:jc w:val="right"/>
        <w:bidi w:val="1"/>
      </w:pPr>
      <w:r>
        <w:rPr>
          <w:rFonts w:ascii="Arial" w:hAnsi="Arial"/>
          <w:b w:val="0"/>
          <w:i w:val="0"/>
          <w:color w:val="1A202C"/>
          <w:sz w:val="21"/>
          <w:rFonts w:ascii="Arial" w:hAnsi="Arial" w:cs="Arial"/>
          <w:rtl w:val="1"/>
        </w:rPr>
        <w:t>يمكن التحقق من سلامة الباك إند بعد إجراء التعديلات عبر الأوامر القياسية المعتمدة:</w:t>
      </w:r>
    </w:p>
    <w:tbl>
      <w:tblPr>
        <w:tblW w:type="auto" w:w="0"/>
        <w:jc w:val="center"/>
        <w:tblLook w:firstColumn="1" w:firstRow="1" w:lastColumn="0" w:lastRow="0" w:noHBand="0" w:noVBand="1" w:val="04A0"/>
        <w:bidiVisual/>
      </w:tblPr>
      <w:tblGrid>
        <w:gridCol w:w="9605"/>
      </w:tblGrid>
      <w:tr>
        <w:tc>
          <w:tcPr>
            <w:tcW w:type="dxa" w:w="9605"/>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before="20" w:after="20" w:line="252" w:lineRule="auto"/>
              <w:jc w:val="left"/>
            </w:pPr>
            <w:r>
              <w:rPr>
                <w:rFonts w:ascii="Consolas" w:hAnsi="Consolas"/>
                <w:color w:val="1E293B"/>
                <w:sz w:val="17"/>
              </w:rPr>
              <w:t># 1. الدخول لمجلد الواجهة الخلفية</w:t>
            </w:r>
          </w:p>
          <w:p>
            <w:pPr>
              <w:spacing w:before="20" w:after="20" w:line="252" w:lineRule="auto"/>
              <w:jc w:val="left"/>
            </w:pPr>
            <w:r>
              <w:rPr>
                <w:rFonts w:ascii="Consolas" w:hAnsi="Consolas"/>
                <w:color w:val="1E293B"/>
                <w:sz w:val="17"/>
              </w:rPr>
              <w:t>cd backend</w:t>
            </w:r>
          </w:p>
          <w:p>
            <w:pPr>
              <w:spacing w:before="20" w:after="20" w:line="252" w:lineRule="auto"/>
              <w:jc w:val="left"/>
            </w:pPr>
            <w:r>
              <w:rPr>
                <w:rFonts w:ascii="Consolas" w:hAnsi="Consolas"/>
                <w:color w:val="1E293B"/>
                <w:sz w:val="17"/>
              </w:rPr>
            </w:r>
          </w:p>
          <w:p>
            <w:pPr>
              <w:spacing w:before="20" w:after="20" w:line="252" w:lineRule="auto"/>
              <w:jc w:val="left"/>
            </w:pPr>
            <w:r>
              <w:rPr>
                <w:rFonts w:ascii="Consolas" w:hAnsi="Consolas"/>
                <w:color w:val="1E293B"/>
                <w:sz w:val="17"/>
              </w:rPr>
              <w:t># 2. تطبيق تهجيرات قاعدة البيانات وتحديث Prisma Client</w:t>
            </w:r>
          </w:p>
          <w:p>
            <w:pPr>
              <w:spacing w:before="20" w:after="20" w:line="252" w:lineRule="auto"/>
              <w:jc w:val="left"/>
            </w:pPr>
            <w:r>
              <w:rPr>
                <w:rFonts w:ascii="Consolas" w:hAnsi="Consolas"/>
                <w:color w:val="1E293B"/>
                <w:sz w:val="17"/>
              </w:rPr>
              <w:t>npx prisma migrate dev</w:t>
            </w:r>
          </w:p>
          <w:p>
            <w:pPr>
              <w:spacing w:before="20" w:after="20" w:line="252" w:lineRule="auto"/>
              <w:jc w:val="left"/>
            </w:pPr>
            <w:r>
              <w:rPr>
                <w:rFonts w:ascii="Consolas" w:hAnsi="Consolas"/>
                <w:color w:val="1E293B"/>
                <w:sz w:val="17"/>
              </w:rPr>
              <w:t>npx prisma generate</w:t>
            </w:r>
          </w:p>
          <w:p>
            <w:pPr>
              <w:spacing w:before="20" w:after="20" w:line="252" w:lineRule="auto"/>
              <w:jc w:val="left"/>
            </w:pPr>
            <w:r>
              <w:rPr>
                <w:rFonts w:ascii="Consolas" w:hAnsi="Consolas"/>
                <w:color w:val="1E293B"/>
                <w:sz w:val="17"/>
              </w:rPr>
            </w:r>
          </w:p>
          <w:p>
            <w:pPr>
              <w:spacing w:before="20" w:after="20" w:line="252" w:lineRule="auto"/>
              <w:jc w:val="left"/>
            </w:pPr>
            <w:r>
              <w:rPr>
                <w:rFonts w:ascii="Consolas" w:hAnsi="Consolas"/>
                <w:color w:val="1E293B"/>
                <w:sz w:val="17"/>
              </w:rPr>
              <w:t># 3. تشغيل الخادم في وضع التطوير المحلي</w:t>
            </w:r>
          </w:p>
          <w:p>
            <w:pPr>
              <w:spacing w:before="20" w:after="20" w:line="252" w:lineRule="auto"/>
              <w:jc w:val="left"/>
            </w:pPr>
            <w:r>
              <w:rPr>
                <w:rFonts w:ascii="Consolas" w:hAnsi="Consolas"/>
                <w:color w:val="1E293B"/>
                <w:sz w:val="17"/>
              </w:rPr>
              <w:t>npm run dev</w:t>
            </w:r>
          </w:p>
          <w:p>
            <w:pPr>
              <w:spacing w:before="20" w:after="20" w:line="252" w:lineRule="auto"/>
              <w:jc w:val="left"/>
            </w:pPr>
            <w:r>
              <w:rPr>
                <w:rFonts w:ascii="Consolas" w:hAnsi="Consolas"/>
                <w:color w:val="1E293B"/>
                <w:sz w:val="17"/>
              </w:rPr>
            </w:r>
          </w:p>
          <w:p>
            <w:pPr>
              <w:spacing w:before="20" w:after="20" w:line="252" w:lineRule="auto"/>
              <w:jc w:val="left"/>
            </w:pPr>
            <w:r>
              <w:rPr>
                <w:rFonts w:ascii="Consolas" w:hAnsi="Consolas"/>
                <w:color w:val="1E293B"/>
                <w:sz w:val="17"/>
              </w:rPr>
              <w:t># 4. تشغيل حزمة الفحوصات الآلية والتأكد من نجاحها</w:t>
            </w:r>
          </w:p>
          <w:p>
            <w:pPr>
              <w:spacing w:before="20" w:after="20" w:line="252" w:lineRule="auto"/>
              <w:jc w:val="left"/>
            </w:pPr>
            <w:r>
              <w:rPr>
                <w:rFonts w:ascii="Consolas" w:hAnsi="Consolas"/>
                <w:color w:val="1E293B"/>
                <w:sz w:val="17"/>
              </w:rPr>
              <w:t>npm test</w:t>
            </w:r>
          </w:p>
          <w:p>
            <w:pPr>
              <w:spacing w:before="20" w:after="20" w:line="252" w:lineRule="auto"/>
              <w:jc w:val="left"/>
            </w:pPr>
            <w:r>
              <w:rPr>
                <w:rFonts w:ascii="Consolas" w:hAnsi="Consolas"/>
                <w:color w:val="1E293B"/>
                <w:sz w:val="17"/>
              </w:rPr>
            </w:r>
          </w:p>
          <w:p>
            <w:pPr>
              <w:spacing w:before="20" w:after="20" w:line="252" w:lineRule="auto"/>
              <w:jc w:val="left"/>
            </w:pPr>
            <w:r>
              <w:rPr>
                <w:rFonts w:ascii="Consolas" w:hAnsi="Consolas"/>
                <w:color w:val="1E293B"/>
                <w:sz w:val="17"/>
              </w:rPr>
              <w:t># 5. استعراض سجلات قاعدة البيانات والتحقق من الجداول</w:t>
            </w:r>
          </w:p>
          <w:p>
            <w:pPr>
              <w:spacing w:before="20" w:after="20" w:line="252" w:lineRule="auto"/>
              <w:jc w:val="left"/>
            </w:pPr>
            <w:r>
              <w:rPr>
                <w:rFonts w:ascii="Consolas" w:hAnsi="Consolas"/>
                <w:color w:val="1E293B"/>
                <w:sz w:val="17"/>
              </w:rPr>
              <w:t>npx prisma studio</w:t>
            </w:r>
          </w:p>
        </w:tc>
      </w:tr>
    </w:tbl>
    <w:p>
      <w:pPr>
        <w:spacing w:after="12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94A3B8"/>
        <w:sz w:val="16"/>
        <w:rFonts w:ascii="Arial" w:hAnsi="Arial" w:cs="Arial"/>
        <w:rtl w:val="1"/>
      </w:rPr>
      <w:t>وثيقة تقنية رسمية سرية — فريق التطوير البرمجي لـ PsyAI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b w:val="0"/>
        <w:i w:val="0"/>
        <w:color w:val="64748B"/>
        <w:sz w:val="17"/>
        <w:rFonts w:ascii="Arial" w:hAnsi="Arial" w:cs="Arial"/>
        <w:rtl w:val="1"/>
      </w:rPr>
      <w:t>منصة PsyAI — دليل التوثيق التقني للواجهة الخلفية وقائمة المهام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