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0" w:type="auto"/>
        <w:tblLook w:val="04A0" w:firstRow="1" w:lastRow="0" w:firstColumn="1" w:lastColumn="0" w:noHBand="0" w:noVBand="1"/>
      </w:tblPr>
      <w:tblGrid>
        <w:gridCol w:w="1565"/>
        <w:gridCol w:w="1577"/>
        <w:gridCol w:w="2503"/>
        <w:gridCol w:w="3371"/>
      </w:tblGrid>
      <w:tr w:rsidR="006D7D57" w:rsidRPr="00F770AD" w14:paraId="451DCF5D" w14:textId="77777777" w:rsidTr="002B0B3C">
        <w:tc>
          <w:tcPr>
            <w:tcW w:w="1689" w:type="dxa"/>
            <w:shd w:val="clear" w:color="auto" w:fill="auto"/>
            <w:vAlign w:val="center"/>
          </w:tcPr>
          <w:p w14:paraId="4B9106BB" w14:textId="77777777" w:rsidR="006D7D57" w:rsidRPr="00AF5F77" w:rsidRDefault="006D7D57" w:rsidP="002B0B3C">
            <w:pPr>
              <w:spacing w:after="120" w:line="259" w:lineRule="auto"/>
              <w:jc w:val="center"/>
              <w:rPr>
                <w:b/>
                <w:bCs/>
                <w:sz w:val="20"/>
              </w:rPr>
            </w:pPr>
            <w:r w:rsidRPr="00AF5F77">
              <w:rPr>
                <w:b/>
                <w:bCs/>
                <w:sz w:val="20"/>
              </w:rPr>
              <w:t>Country / CPC</w:t>
            </w:r>
          </w:p>
        </w:tc>
        <w:tc>
          <w:tcPr>
            <w:tcW w:w="1653" w:type="dxa"/>
            <w:shd w:val="clear" w:color="auto" w:fill="auto"/>
            <w:vAlign w:val="center"/>
          </w:tcPr>
          <w:p w14:paraId="15BC192A" w14:textId="77777777" w:rsidR="006D7D57" w:rsidRPr="00AF5F77" w:rsidRDefault="006D7D57" w:rsidP="002B0B3C">
            <w:pPr>
              <w:spacing w:after="120" w:line="259" w:lineRule="auto"/>
              <w:jc w:val="center"/>
              <w:rPr>
                <w:b/>
                <w:bCs/>
                <w:sz w:val="20"/>
              </w:rPr>
            </w:pPr>
            <w:r w:rsidRPr="00AF5F77">
              <w:rPr>
                <w:b/>
                <w:bCs/>
                <w:sz w:val="20"/>
              </w:rPr>
              <w:t>Dates</w:t>
            </w:r>
          </w:p>
        </w:tc>
        <w:tc>
          <w:tcPr>
            <w:tcW w:w="2884" w:type="dxa"/>
            <w:shd w:val="clear" w:color="auto" w:fill="auto"/>
            <w:vAlign w:val="center"/>
          </w:tcPr>
          <w:p w14:paraId="6C1E22F1" w14:textId="77777777" w:rsidR="006D7D57" w:rsidRPr="00AF5F77" w:rsidRDefault="006D7D57" w:rsidP="002B0B3C">
            <w:pPr>
              <w:spacing w:after="120" w:line="259" w:lineRule="auto"/>
              <w:jc w:val="center"/>
              <w:rPr>
                <w:b/>
                <w:bCs/>
                <w:sz w:val="20"/>
              </w:rPr>
            </w:pPr>
            <w:r w:rsidRPr="00AF5F77">
              <w:rPr>
                <w:b/>
                <w:bCs/>
                <w:sz w:val="20"/>
              </w:rPr>
              <w:t>Executing agencies / staff</w:t>
            </w:r>
          </w:p>
        </w:tc>
        <w:tc>
          <w:tcPr>
            <w:tcW w:w="4012" w:type="dxa"/>
            <w:shd w:val="clear" w:color="auto" w:fill="auto"/>
            <w:vAlign w:val="center"/>
          </w:tcPr>
          <w:p w14:paraId="5B2F6AB7" w14:textId="77777777" w:rsidR="006D7D57" w:rsidRPr="00AF5F77" w:rsidRDefault="006D7D57" w:rsidP="002B0B3C">
            <w:pPr>
              <w:spacing w:after="120" w:line="259" w:lineRule="auto"/>
              <w:jc w:val="center"/>
              <w:rPr>
                <w:b/>
                <w:bCs/>
                <w:sz w:val="20"/>
              </w:rPr>
            </w:pPr>
            <w:r w:rsidRPr="00AF5F77">
              <w:rPr>
                <w:b/>
                <w:bCs/>
                <w:sz w:val="20"/>
              </w:rPr>
              <w:t>Description of activities</w:t>
            </w:r>
          </w:p>
        </w:tc>
      </w:tr>
      <w:tr w:rsidR="006D7D57" w:rsidRPr="00F770AD" w14:paraId="75E3597F" w14:textId="77777777" w:rsidTr="002B0B3C">
        <w:tc>
          <w:tcPr>
            <w:tcW w:w="1689" w:type="dxa"/>
            <w:shd w:val="clear" w:color="auto" w:fill="auto"/>
          </w:tcPr>
          <w:p w14:paraId="23A8F74E" w14:textId="77777777" w:rsidR="006D7D57" w:rsidRPr="009008D8" w:rsidRDefault="006D7D57" w:rsidP="002B0B3C">
            <w:pPr>
              <w:spacing w:after="120"/>
              <w:rPr>
                <w:rFonts w:cstheme="minorHAnsi"/>
                <w:b/>
                <w:bCs/>
                <w:sz w:val="18"/>
                <w:szCs w:val="18"/>
              </w:rPr>
            </w:pPr>
            <w:r w:rsidRPr="009008D8">
              <w:rPr>
                <w:rFonts w:cstheme="minorHAnsi"/>
                <w:b/>
                <w:bCs/>
                <w:sz w:val="18"/>
                <w:szCs w:val="18"/>
              </w:rPr>
              <w:t>Tanzania</w:t>
            </w:r>
          </w:p>
          <w:p w14:paraId="242440FB" w14:textId="77777777" w:rsidR="006D7D57" w:rsidRPr="009008D8" w:rsidRDefault="006D7D57" w:rsidP="002B0B3C">
            <w:pPr>
              <w:spacing w:after="120"/>
              <w:rPr>
                <w:rFonts w:cstheme="minorHAnsi"/>
                <w:color w:val="000000" w:themeColor="text1"/>
                <w:sz w:val="18"/>
                <w:szCs w:val="18"/>
              </w:rPr>
            </w:pPr>
            <w:r w:rsidRPr="009008D8">
              <w:rPr>
                <w:rFonts w:cstheme="minorHAnsi"/>
                <w:sz w:val="18"/>
                <w:szCs w:val="18"/>
              </w:rPr>
              <w:t>(</w:t>
            </w:r>
            <w:r>
              <w:rPr>
                <w:rFonts w:cstheme="minorHAnsi"/>
                <w:sz w:val="18"/>
                <w:szCs w:val="18"/>
              </w:rPr>
              <w:t>i</w:t>
            </w:r>
            <w:r w:rsidRPr="009008D8">
              <w:rPr>
                <w:rFonts w:cstheme="minorHAnsi"/>
                <w:sz w:val="18"/>
                <w:szCs w:val="18"/>
              </w:rPr>
              <w:t>n person</w:t>
            </w:r>
            <w:r>
              <w:rPr>
                <w:rFonts w:cstheme="minorHAnsi"/>
                <w:sz w:val="18"/>
                <w:szCs w:val="18"/>
              </w:rPr>
              <w:t>, Zanzibar</w:t>
            </w:r>
            <w:r w:rsidRPr="009008D8">
              <w:rPr>
                <w:rFonts w:cstheme="minorHAnsi"/>
                <w:sz w:val="18"/>
                <w:szCs w:val="18"/>
              </w:rPr>
              <w:t>)</w:t>
            </w:r>
          </w:p>
          <w:p w14:paraId="1DDDA844" w14:textId="77777777" w:rsidR="006D7D57" w:rsidRPr="00F770AD" w:rsidRDefault="006D7D57" w:rsidP="002B0B3C">
            <w:pPr>
              <w:spacing w:after="120"/>
              <w:jc w:val="both"/>
              <w:rPr>
                <w:rFonts w:cs="Calibri"/>
                <w:b/>
                <w:bCs/>
                <w:sz w:val="18"/>
                <w:szCs w:val="18"/>
                <w:highlight w:val="yellow"/>
              </w:rPr>
            </w:pPr>
          </w:p>
        </w:tc>
        <w:tc>
          <w:tcPr>
            <w:tcW w:w="1653" w:type="dxa"/>
            <w:shd w:val="clear" w:color="auto" w:fill="auto"/>
          </w:tcPr>
          <w:p w14:paraId="5B8CEC54" w14:textId="77777777" w:rsidR="006D7D57" w:rsidRDefault="006D7D57" w:rsidP="002B0B3C">
            <w:pPr>
              <w:spacing w:before="0" w:line="259" w:lineRule="auto"/>
              <w:jc w:val="center"/>
              <w:rPr>
                <w:rFonts w:cstheme="minorHAnsi"/>
                <w:color w:val="000000" w:themeColor="text1"/>
                <w:sz w:val="18"/>
                <w:szCs w:val="18"/>
              </w:rPr>
            </w:pPr>
            <w:r w:rsidRPr="004E7CE7">
              <w:rPr>
                <w:rFonts w:cstheme="minorHAnsi"/>
                <w:color w:val="000000" w:themeColor="text1"/>
                <w:sz w:val="18"/>
                <w:szCs w:val="18"/>
              </w:rPr>
              <w:t>26 Feb</w:t>
            </w:r>
            <w:r>
              <w:rPr>
                <w:rFonts w:cstheme="minorHAnsi"/>
                <w:color w:val="000000" w:themeColor="text1"/>
                <w:sz w:val="18"/>
                <w:szCs w:val="18"/>
              </w:rPr>
              <w:t>-</w:t>
            </w:r>
            <w:r w:rsidRPr="004E7CE7">
              <w:rPr>
                <w:rFonts w:cstheme="minorHAnsi"/>
                <w:color w:val="000000" w:themeColor="text1"/>
                <w:sz w:val="18"/>
                <w:szCs w:val="18"/>
              </w:rPr>
              <w:t>1 Mar 2024</w:t>
            </w:r>
          </w:p>
          <w:p w14:paraId="48533220" w14:textId="77777777" w:rsidR="006D7D57" w:rsidRPr="00AF5F77" w:rsidDel="00C1208F" w:rsidRDefault="006D7D57" w:rsidP="002B0B3C">
            <w:pPr>
              <w:spacing w:line="259" w:lineRule="auto"/>
              <w:jc w:val="center"/>
              <w:rPr>
                <w:rFonts w:cs="Calibri"/>
                <w:b/>
                <w:bCs/>
                <w:color w:val="000000"/>
                <w:sz w:val="18"/>
                <w:szCs w:val="18"/>
              </w:rPr>
            </w:pPr>
            <w:r w:rsidRPr="00AF5F77">
              <w:rPr>
                <w:b/>
                <w:bCs/>
                <w:sz w:val="18"/>
                <w:szCs w:val="18"/>
              </w:rPr>
              <w:t>COMPLETED</w:t>
            </w:r>
          </w:p>
        </w:tc>
        <w:tc>
          <w:tcPr>
            <w:tcW w:w="2884" w:type="dxa"/>
            <w:shd w:val="clear" w:color="auto" w:fill="auto"/>
          </w:tcPr>
          <w:p w14:paraId="3AB6C6C6"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10F468E8" w14:textId="77777777" w:rsidR="006D7D57" w:rsidRPr="00F770AD" w:rsidRDefault="006D7D57" w:rsidP="002B0B3C">
            <w:pPr>
              <w:spacing w:before="0" w:line="259" w:lineRule="auto"/>
              <w:jc w:val="both"/>
              <w:rPr>
                <w:rFonts w:cs="Calibri"/>
                <w:color w:val="000000"/>
                <w:sz w:val="18"/>
                <w:szCs w:val="18"/>
                <w:highlight w:val="yellow"/>
              </w:rPr>
            </w:pPr>
            <w:r w:rsidRPr="009008D8">
              <w:rPr>
                <w:rFonts w:cstheme="minorHAnsi"/>
                <w:color w:val="000000" w:themeColor="text1"/>
                <w:sz w:val="18"/>
                <w:szCs w:val="18"/>
              </w:rPr>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tc>
        <w:tc>
          <w:tcPr>
            <w:tcW w:w="4012" w:type="dxa"/>
            <w:shd w:val="clear" w:color="auto" w:fill="auto"/>
          </w:tcPr>
          <w:p w14:paraId="0B6950FE" w14:textId="77777777" w:rsidR="006D7D57" w:rsidRPr="00DC6A85" w:rsidRDefault="006D7D57" w:rsidP="002B0B3C">
            <w:pPr>
              <w:spacing w:before="0" w:after="200" w:line="276" w:lineRule="auto"/>
              <w:jc w:val="both"/>
              <w:rPr>
                <w:sz w:val="18"/>
                <w:szCs w:val="18"/>
              </w:rPr>
            </w:pPr>
            <w:r w:rsidRPr="009C5082">
              <w:rPr>
                <w:sz w:val="18"/>
                <w:szCs w:val="18"/>
              </w:rPr>
              <w:t>Technical Assistance Mission</w:t>
            </w:r>
            <w:r>
              <w:rPr>
                <w:sz w:val="18"/>
                <w:szCs w:val="18"/>
              </w:rPr>
              <w:t xml:space="preserve"> to:</w:t>
            </w:r>
          </w:p>
          <w:p w14:paraId="6254E967" w14:textId="77777777" w:rsidR="006D7D57" w:rsidRPr="00F9112F" w:rsidRDefault="006D7D57" w:rsidP="006D7D57">
            <w:pPr>
              <w:pStyle w:val="ListParagraph"/>
              <w:numPr>
                <w:ilvl w:val="0"/>
                <w:numId w:val="1"/>
              </w:numPr>
              <w:spacing w:before="0" w:after="120" w:line="276" w:lineRule="auto"/>
              <w:ind w:left="183" w:hanging="142"/>
              <w:jc w:val="both"/>
              <w:rPr>
                <w:sz w:val="18"/>
                <w:szCs w:val="18"/>
              </w:rPr>
            </w:pPr>
            <w:r w:rsidRPr="00F9112F">
              <w:rPr>
                <w:sz w:val="18"/>
                <w:szCs w:val="18"/>
              </w:rPr>
              <w:t>Assess the progress made following the recommendations of the mission conducted by the Secretariat in July 2023</w:t>
            </w:r>
          </w:p>
          <w:p w14:paraId="6E8AF90B" w14:textId="77777777" w:rsidR="006D7D57" w:rsidRPr="00F9112F" w:rsidRDefault="006D7D57" w:rsidP="006D7D57">
            <w:pPr>
              <w:pStyle w:val="ListParagraph"/>
              <w:numPr>
                <w:ilvl w:val="0"/>
                <w:numId w:val="1"/>
              </w:numPr>
              <w:spacing w:before="0" w:after="120" w:line="276" w:lineRule="auto"/>
              <w:ind w:left="183" w:hanging="142"/>
              <w:jc w:val="both"/>
              <w:rPr>
                <w:sz w:val="18"/>
                <w:szCs w:val="18"/>
              </w:rPr>
            </w:pPr>
            <w:r w:rsidRPr="00F9112F">
              <w:rPr>
                <w:sz w:val="18"/>
                <w:szCs w:val="18"/>
              </w:rPr>
              <w:t xml:space="preserve">Review the Fisheries Information Platforms in use and their integration to fill in </w:t>
            </w:r>
            <w:r>
              <w:rPr>
                <w:sz w:val="18"/>
                <w:szCs w:val="18"/>
              </w:rPr>
              <w:t xml:space="preserve">data </w:t>
            </w:r>
            <w:r w:rsidRPr="00F9112F">
              <w:rPr>
                <w:sz w:val="18"/>
                <w:szCs w:val="18"/>
              </w:rPr>
              <w:t>reporting</w:t>
            </w:r>
            <w:r>
              <w:rPr>
                <w:sz w:val="18"/>
                <w:szCs w:val="18"/>
              </w:rPr>
              <w:t xml:space="preserve"> gaps</w:t>
            </w:r>
          </w:p>
          <w:p w14:paraId="64811906" w14:textId="77777777" w:rsidR="006D7D57" w:rsidRPr="00F9112F" w:rsidRDefault="006D7D57" w:rsidP="006D7D57">
            <w:pPr>
              <w:pStyle w:val="ListParagraph"/>
              <w:numPr>
                <w:ilvl w:val="0"/>
                <w:numId w:val="1"/>
              </w:numPr>
              <w:spacing w:before="0" w:after="120" w:line="276" w:lineRule="auto"/>
              <w:ind w:left="183" w:hanging="142"/>
              <w:jc w:val="both"/>
              <w:rPr>
                <w:sz w:val="18"/>
                <w:szCs w:val="18"/>
              </w:rPr>
            </w:pPr>
            <w:r w:rsidRPr="00F9112F">
              <w:rPr>
                <w:sz w:val="18"/>
                <w:szCs w:val="18"/>
              </w:rPr>
              <w:t>Further clarify any outstanding aspects of the IOTC data reporting process and proposing potential</w:t>
            </w:r>
            <w:r>
              <w:rPr>
                <w:sz w:val="18"/>
                <w:szCs w:val="18"/>
              </w:rPr>
              <w:t xml:space="preserve"> improvements</w:t>
            </w:r>
          </w:p>
          <w:p w14:paraId="47A9E919" w14:textId="77777777" w:rsidR="006D7D57" w:rsidRDefault="006D7D57" w:rsidP="006D7D57">
            <w:pPr>
              <w:pStyle w:val="ListParagraph"/>
              <w:numPr>
                <w:ilvl w:val="0"/>
                <w:numId w:val="1"/>
              </w:numPr>
              <w:spacing w:before="0" w:after="120" w:line="276" w:lineRule="auto"/>
              <w:ind w:left="183" w:hanging="142"/>
              <w:jc w:val="both"/>
              <w:rPr>
                <w:sz w:val="18"/>
                <w:szCs w:val="18"/>
              </w:rPr>
            </w:pPr>
            <w:r w:rsidRPr="00B94A53">
              <w:rPr>
                <w:sz w:val="18"/>
                <w:szCs w:val="18"/>
              </w:rPr>
              <w:t>Better understand the factors explaining the discrepancies in data reported to the IOTC</w:t>
            </w:r>
          </w:p>
          <w:p w14:paraId="5C604FD4" w14:textId="77777777" w:rsidR="006D7D57" w:rsidRPr="00AF5F77" w:rsidRDefault="006D7D57" w:rsidP="006D7D57">
            <w:pPr>
              <w:pStyle w:val="ListParagraph"/>
              <w:numPr>
                <w:ilvl w:val="0"/>
                <w:numId w:val="1"/>
              </w:numPr>
              <w:spacing w:before="0" w:after="120" w:line="276" w:lineRule="auto"/>
              <w:ind w:left="183" w:hanging="142"/>
              <w:jc w:val="both"/>
              <w:rPr>
                <w:sz w:val="18"/>
                <w:szCs w:val="18"/>
              </w:rPr>
            </w:pPr>
            <w:r w:rsidRPr="00B94A53">
              <w:rPr>
                <w:sz w:val="18"/>
                <w:szCs w:val="18"/>
              </w:rPr>
              <w:t xml:space="preserve">Evaluate the best approach to harmonise the time series of </w:t>
            </w:r>
            <w:r>
              <w:rPr>
                <w:sz w:val="18"/>
                <w:szCs w:val="18"/>
              </w:rPr>
              <w:t xml:space="preserve">historical </w:t>
            </w:r>
            <w:r w:rsidRPr="00B94A53">
              <w:rPr>
                <w:sz w:val="18"/>
                <w:szCs w:val="18"/>
              </w:rPr>
              <w:t>Tanzanian catches and efforts.</w:t>
            </w:r>
          </w:p>
        </w:tc>
      </w:tr>
      <w:tr w:rsidR="006D7D57" w:rsidRPr="00F770AD" w14:paraId="3574C6A0" w14:textId="77777777" w:rsidTr="002B0B3C">
        <w:tc>
          <w:tcPr>
            <w:tcW w:w="1689" w:type="dxa"/>
            <w:shd w:val="clear" w:color="auto" w:fill="auto"/>
          </w:tcPr>
          <w:p w14:paraId="2DED430A" w14:textId="77777777" w:rsidR="006D7D57" w:rsidRDefault="006D7D57" w:rsidP="002B0B3C">
            <w:pPr>
              <w:spacing w:after="120"/>
              <w:rPr>
                <w:rFonts w:cstheme="minorHAnsi"/>
                <w:b/>
                <w:bCs/>
                <w:sz w:val="18"/>
                <w:szCs w:val="18"/>
              </w:rPr>
            </w:pPr>
            <w:r w:rsidRPr="00D23DE8">
              <w:rPr>
                <w:rFonts w:cstheme="minorHAnsi"/>
                <w:b/>
                <w:bCs/>
                <w:sz w:val="18"/>
                <w:szCs w:val="18"/>
              </w:rPr>
              <w:t>Bangladesh</w:t>
            </w:r>
          </w:p>
          <w:p w14:paraId="0231B1AD" w14:textId="77777777" w:rsidR="006D7D57" w:rsidRPr="00F770AD" w:rsidRDefault="006D7D57" w:rsidP="002B0B3C">
            <w:pPr>
              <w:spacing w:after="120"/>
              <w:rPr>
                <w:rFonts w:cs="Calibri"/>
                <w:b/>
                <w:bCs/>
                <w:sz w:val="18"/>
                <w:szCs w:val="18"/>
                <w:highlight w:val="yellow"/>
              </w:rPr>
            </w:pPr>
            <w:r w:rsidRPr="00D23DE8">
              <w:rPr>
                <w:rFonts w:cstheme="minorHAnsi"/>
                <w:sz w:val="18"/>
                <w:szCs w:val="18"/>
              </w:rPr>
              <w:t>(in person</w:t>
            </w:r>
            <w:r>
              <w:rPr>
                <w:rFonts w:cstheme="minorHAnsi"/>
                <w:sz w:val="18"/>
                <w:szCs w:val="18"/>
              </w:rPr>
              <w:t>, Dhaka and Chittagong</w:t>
            </w:r>
            <w:r w:rsidRPr="00D23DE8">
              <w:rPr>
                <w:rFonts w:cstheme="minorHAnsi"/>
                <w:sz w:val="18"/>
                <w:szCs w:val="18"/>
              </w:rPr>
              <w:t>)</w:t>
            </w:r>
          </w:p>
        </w:tc>
        <w:tc>
          <w:tcPr>
            <w:tcW w:w="1653" w:type="dxa"/>
            <w:shd w:val="clear" w:color="auto" w:fill="auto"/>
          </w:tcPr>
          <w:p w14:paraId="4779E18F"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17-22</w:t>
            </w:r>
            <w:r w:rsidRPr="004E7CE7">
              <w:rPr>
                <w:rFonts w:cstheme="minorHAnsi"/>
                <w:color w:val="000000" w:themeColor="text1"/>
                <w:sz w:val="18"/>
                <w:szCs w:val="18"/>
              </w:rPr>
              <w:t xml:space="preserve"> Mar 2024</w:t>
            </w:r>
          </w:p>
          <w:p w14:paraId="29CF0F22" w14:textId="77777777" w:rsidR="006D7D57" w:rsidRPr="00F770AD" w:rsidDel="00C1208F" w:rsidRDefault="006D7D57" w:rsidP="002B0B3C">
            <w:pPr>
              <w:spacing w:before="0" w:line="259" w:lineRule="auto"/>
              <w:jc w:val="center"/>
              <w:rPr>
                <w:rFonts w:cs="Calibri"/>
                <w:color w:val="000000"/>
                <w:sz w:val="18"/>
                <w:szCs w:val="18"/>
                <w:highlight w:val="yellow"/>
              </w:rPr>
            </w:pPr>
            <w:r w:rsidRPr="00AF5F77">
              <w:rPr>
                <w:rFonts w:cs="Calibri"/>
                <w:b/>
                <w:bCs/>
                <w:color w:val="000000"/>
                <w:sz w:val="18"/>
                <w:szCs w:val="18"/>
              </w:rPr>
              <w:t>COMPLETED</w:t>
            </w:r>
          </w:p>
        </w:tc>
        <w:tc>
          <w:tcPr>
            <w:tcW w:w="2884" w:type="dxa"/>
            <w:shd w:val="clear" w:color="auto" w:fill="auto"/>
          </w:tcPr>
          <w:p w14:paraId="07845037"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7A05FEAE"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53085BF6" w14:textId="77777777" w:rsidR="006D7D57" w:rsidRPr="00F770AD" w:rsidRDefault="006D7D57" w:rsidP="002B0B3C">
            <w:pPr>
              <w:spacing w:before="0" w:line="259" w:lineRule="auto"/>
              <w:jc w:val="both"/>
              <w:rPr>
                <w:rFonts w:cs="Calibri"/>
                <w:color w:val="000000"/>
                <w:sz w:val="18"/>
                <w:szCs w:val="18"/>
                <w:highlight w:val="yellow"/>
              </w:rPr>
            </w:pPr>
          </w:p>
        </w:tc>
        <w:tc>
          <w:tcPr>
            <w:tcW w:w="4012" w:type="dxa"/>
            <w:shd w:val="clear" w:color="auto" w:fill="auto"/>
          </w:tcPr>
          <w:p w14:paraId="02BCC4DD" w14:textId="77777777" w:rsidR="006D7D57" w:rsidRDefault="006D7D57" w:rsidP="002B0B3C">
            <w:pPr>
              <w:spacing w:before="0" w:line="259" w:lineRule="auto"/>
              <w:contextualSpacing/>
              <w:jc w:val="both"/>
              <w:rPr>
                <w:sz w:val="18"/>
                <w:szCs w:val="18"/>
              </w:rPr>
            </w:pPr>
            <w:r>
              <w:rPr>
                <w:sz w:val="18"/>
                <w:szCs w:val="18"/>
              </w:rPr>
              <w:t>T</w:t>
            </w:r>
            <w:r w:rsidRPr="007D3C0C">
              <w:rPr>
                <w:sz w:val="18"/>
                <w:szCs w:val="18"/>
              </w:rPr>
              <w:t xml:space="preserve">echnical </w:t>
            </w:r>
            <w:r>
              <w:rPr>
                <w:sz w:val="18"/>
                <w:szCs w:val="18"/>
              </w:rPr>
              <w:t>A</w:t>
            </w:r>
            <w:r w:rsidRPr="007D3C0C">
              <w:rPr>
                <w:sz w:val="18"/>
                <w:szCs w:val="18"/>
              </w:rPr>
              <w:t xml:space="preserve">ssistance </w:t>
            </w:r>
            <w:r>
              <w:rPr>
                <w:sz w:val="18"/>
                <w:szCs w:val="18"/>
              </w:rPr>
              <w:t>M</w:t>
            </w:r>
            <w:r w:rsidRPr="007D3C0C">
              <w:rPr>
                <w:sz w:val="18"/>
                <w:szCs w:val="18"/>
              </w:rPr>
              <w:t>ission</w:t>
            </w:r>
            <w:r>
              <w:rPr>
                <w:sz w:val="18"/>
                <w:szCs w:val="18"/>
              </w:rPr>
              <w:t xml:space="preserve"> to</w:t>
            </w:r>
            <w:r w:rsidRPr="007D3C0C">
              <w:rPr>
                <w:sz w:val="18"/>
                <w:szCs w:val="18"/>
              </w:rPr>
              <w:t>:</w:t>
            </w:r>
          </w:p>
          <w:p w14:paraId="1ED8F342" w14:textId="77777777" w:rsidR="006D7D57" w:rsidRDefault="006D7D57" w:rsidP="006D7D57">
            <w:pPr>
              <w:pStyle w:val="ListParagraph"/>
              <w:numPr>
                <w:ilvl w:val="0"/>
                <w:numId w:val="1"/>
              </w:numPr>
              <w:spacing w:before="0" w:after="120" w:line="276" w:lineRule="auto"/>
              <w:ind w:left="183" w:hanging="142"/>
              <w:jc w:val="both"/>
              <w:rPr>
                <w:sz w:val="18"/>
                <w:szCs w:val="18"/>
              </w:rPr>
            </w:pPr>
            <w:r>
              <w:rPr>
                <w:sz w:val="18"/>
                <w:szCs w:val="18"/>
              </w:rPr>
              <w:t>A</w:t>
            </w:r>
            <w:r w:rsidRPr="00C47F80">
              <w:rPr>
                <w:sz w:val="18"/>
                <w:szCs w:val="18"/>
              </w:rPr>
              <w:t>ssess the status of the data collection and reporting systems in place</w:t>
            </w:r>
          </w:p>
          <w:p w14:paraId="03F8DB76" w14:textId="77777777" w:rsidR="006D7D57" w:rsidRDefault="006D7D57" w:rsidP="006D7D57">
            <w:pPr>
              <w:pStyle w:val="ListParagraph"/>
              <w:numPr>
                <w:ilvl w:val="0"/>
                <w:numId w:val="1"/>
              </w:numPr>
              <w:spacing w:before="0" w:after="120" w:line="276" w:lineRule="auto"/>
              <w:ind w:left="183" w:hanging="142"/>
              <w:jc w:val="both"/>
              <w:rPr>
                <w:sz w:val="18"/>
                <w:szCs w:val="18"/>
              </w:rPr>
            </w:pPr>
            <w:r>
              <w:rPr>
                <w:sz w:val="18"/>
                <w:szCs w:val="18"/>
              </w:rPr>
              <w:t>H</w:t>
            </w:r>
            <w:r w:rsidRPr="00C47F80">
              <w:rPr>
                <w:sz w:val="18"/>
                <w:szCs w:val="18"/>
              </w:rPr>
              <w:t>ave a better understanding of the fisheries that catch tuna and tuna-like species in Bangladesh</w:t>
            </w:r>
          </w:p>
          <w:p w14:paraId="7D07F5FC" w14:textId="77777777" w:rsidR="006D7D57" w:rsidRPr="00C607BD" w:rsidRDefault="006D7D57" w:rsidP="006D7D57">
            <w:pPr>
              <w:pStyle w:val="ListParagraph"/>
              <w:numPr>
                <w:ilvl w:val="0"/>
                <w:numId w:val="1"/>
              </w:numPr>
              <w:spacing w:before="0" w:after="120" w:line="276" w:lineRule="auto"/>
              <w:ind w:left="183" w:hanging="142"/>
              <w:jc w:val="both"/>
              <w:rPr>
                <w:sz w:val="18"/>
                <w:szCs w:val="18"/>
              </w:rPr>
            </w:pPr>
            <w:r>
              <w:rPr>
                <w:sz w:val="18"/>
                <w:szCs w:val="18"/>
              </w:rPr>
              <w:t>P</w:t>
            </w:r>
            <w:r w:rsidRPr="00C47F80">
              <w:rPr>
                <w:sz w:val="18"/>
                <w:szCs w:val="18"/>
              </w:rPr>
              <w:t>rovide technical advice to improve the collection and reporting of data to the IOTC.</w:t>
            </w:r>
          </w:p>
        </w:tc>
      </w:tr>
      <w:tr w:rsidR="006D7D57" w:rsidRPr="00F770AD" w14:paraId="5EE1FD4D" w14:textId="77777777" w:rsidTr="002B0B3C">
        <w:tc>
          <w:tcPr>
            <w:tcW w:w="1689" w:type="dxa"/>
            <w:shd w:val="clear" w:color="auto" w:fill="auto"/>
          </w:tcPr>
          <w:p w14:paraId="5BF4A830" w14:textId="77777777" w:rsidR="006D7D57" w:rsidRDefault="006D7D57" w:rsidP="002B0B3C">
            <w:pPr>
              <w:spacing w:after="120"/>
              <w:rPr>
                <w:rFonts w:cstheme="minorHAnsi"/>
                <w:b/>
                <w:bCs/>
                <w:sz w:val="18"/>
                <w:szCs w:val="18"/>
              </w:rPr>
            </w:pPr>
            <w:r w:rsidRPr="00D23DE8">
              <w:rPr>
                <w:rFonts w:cstheme="minorHAnsi"/>
                <w:b/>
                <w:bCs/>
                <w:sz w:val="18"/>
                <w:szCs w:val="18"/>
              </w:rPr>
              <w:t>Thailand</w:t>
            </w:r>
          </w:p>
          <w:p w14:paraId="53E51EE4" w14:textId="77777777" w:rsidR="006D7D57" w:rsidRPr="00F770AD" w:rsidRDefault="006D7D57" w:rsidP="002B0B3C">
            <w:pPr>
              <w:spacing w:after="120"/>
              <w:rPr>
                <w:rFonts w:cs="Calibri"/>
                <w:sz w:val="18"/>
                <w:szCs w:val="18"/>
                <w:highlight w:val="yellow"/>
              </w:rPr>
            </w:pPr>
            <w:r>
              <w:rPr>
                <w:rFonts w:cstheme="minorHAnsi"/>
                <w:sz w:val="18"/>
                <w:szCs w:val="18"/>
              </w:rPr>
              <w:t>(</w:t>
            </w:r>
            <w:r w:rsidRPr="00D23DE8">
              <w:rPr>
                <w:rFonts w:cstheme="minorHAnsi"/>
                <w:sz w:val="18"/>
                <w:szCs w:val="18"/>
              </w:rPr>
              <w:t>in person</w:t>
            </w:r>
            <w:r>
              <w:rPr>
                <w:rFonts w:cstheme="minorHAnsi"/>
                <w:sz w:val="18"/>
                <w:szCs w:val="18"/>
              </w:rPr>
              <w:t>, Bangkok</w:t>
            </w:r>
            <w:r w:rsidRPr="007F77BC">
              <w:rPr>
                <w:rFonts w:cstheme="minorHAnsi"/>
                <w:sz w:val="18"/>
                <w:szCs w:val="18"/>
              </w:rPr>
              <w:t>)</w:t>
            </w:r>
          </w:p>
        </w:tc>
        <w:tc>
          <w:tcPr>
            <w:tcW w:w="1653" w:type="dxa"/>
            <w:shd w:val="clear" w:color="auto" w:fill="auto"/>
          </w:tcPr>
          <w:p w14:paraId="17DEE86C"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15-18</w:t>
            </w:r>
            <w:r w:rsidRPr="004E7CE7">
              <w:rPr>
                <w:rFonts w:cstheme="minorHAnsi"/>
                <w:color w:val="000000" w:themeColor="text1"/>
                <w:sz w:val="18"/>
                <w:szCs w:val="18"/>
              </w:rPr>
              <w:t xml:space="preserve"> </w:t>
            </w:r>
            <w:r>
              <w:rPr>
                <w:rFonts w:cstheme="minorHAnsi"/>
                <w:color w:val="000000" w:themeColor="text1"/>
                <w:sz w:val="18"/>
                <w:szCs w:val="18"/>
              </w:rPr>
              <w:t>Apr</w:t>
            </w:r>
            <w:r w:rsidRPr="004E7CE7">
              <w:rPr>
                <w:rFonts w:cstheme="minorHAnsi"/>
                <w:color w:val="000000" w:themeColor="text1"/>
                <w:sz w:val="18"/>
                <w:szCs w:val="18"/>
              </w:rPr>
              <w:t xml:space="preserve"> 2024</w:t>
            </w:r>
          </w:p>
          <w:p w14:paraId="5D8737AC" w14:textId="77777777" w:rsidR="006D7D57" w:rsidRPr="00F770AD" w:rsidDel="00C1208F" w:rsidRDefault="006D7D57" w:rsidP="002B0B3C">
            <w:pPr>
              <w:spacing w:before="0" w:line="259" w:lineRule="auto"/>
              <w:jc w:val="center"/>
              <w:rPr>
                <w:rFonts w:cs="Calibri"/>
                <w:b/>
                <w:bCs/>
                <w:color w:val="000000"/>
                <w:sz w:val="18"/>
                <w:szCs w:val="18"/>
                <w:highlight w:val="yellow"/>
              </w:rPr>
            </w:pPr>
            <w:r w:rsidRPr="00AF5F77">
              <w:rPr>
                <w:rFonts w:cs="Calibri"/>
                <w:b/>
                <w:bCs/>
                <w:color w:val="000000"/>
                <w:sz w:val="18"/>
                <w:szCs w:val="18"/>
              </w:rPr>
              <w:t>COMPLETED</w:t>
            </w:r>
          </w:p>
        </w:tc>
        <w:tc>
          <w:tcPr>
            <w:tcW w:w="2884" w:type="dxa"/>
            <w:shd w:val="clear" w:color="auto" w:fill="auto"/>
          </w:tcPr>
          <w:p w14:paraId="276FA36B" w14:textId="77777777" w:rsidR="006D7D57"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00DD02DC"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p w14:paraId="39C3743C"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1A4EF220" w14:textId="77777777" w:rsidR="006D7D57" w:rsidRDefault="006D7D57" w:rsidP="002B0B3C">
            <w:pPr>
              <w:spacing w:before="0" w:line="259" w:lineRule="auto"/>
              <w:jc w:val="both"/>
              <w:rPr>
                <w:rFonts w:cs="Calibri"/>
                <w:color w:val="000000"/>
                <w:sz w:val="18"/>
                <w:szCs w:val="18"/>
                <w:highlight w:val="yellow"/>
              </w:rPr>
            </w:pPr>
          </w:p>
          <w:p w14:paraId="61AB69C6" w14:textId="77777777" w:rsidR="006D7D57" w:rsidRPr="00F770AD" w:rsidRDefault="006D7D57" w:rsidP="002B0B3C">
            <w:pPr>
              <w:spacing w:before="0" w:line="259" w:lineRule="auto"/>
              <w:jc w:val="both"/>
              <w:rPr>
                <w:rFonts w:cs="Calibri"/>
                <w:color w:val="000000"/>
                <w:sz w:val="18"/>
                <w:szCs w:val="18"/>
                <w:highlight w:val="yellow"/>
              </w:rPr>
            </w:pPr>
            <w:r w:rsidRPr="00247204">
              <w:rPr>
                <w:sz w:val="18"/>
                <w:szCs w:val="18"/>
              </w:rPr>
              <w:t>12 participants from China, Indonesia, Mala</w:t>
            </w:r>
            <w:r>
              <w:rPr>
                <w:sz w:val="18"/>
                <w:szCs w:val="18"/>
              </w:rPr>
              <w:t>y</w:t>
            </w:r>
            <w:r w:rsidRPr="00247204">
              <w:rPr>
                <w:sz w:val="18"/>
                <w:szCs w:val="18"/>
              </w:rPr>
              <w:t>sia, Maldives, Pakistan, Sri Lanka, Philippine</w:t>
            </w:r>
            <w:r>
              <w:rPr>
                <w:sz w:val="18"/>
                <w:szCs w:val="18"/>
              </w:rPr>
              <w:t>s</w:t>
            </w:r>
            <w:r w:rsidRPr="00247204">
              <w:rPr>
                <w:sz w:val="18"/>
                <w:szCs w:val="18"/>
              </w:rPr>
              <w:t xml:space="preserve">, </w:t>
            </w:r>
            <w:r>
              <w:rPr>
                <w:sz w:val="18"/>
                <w:szCs w:val="18"/>
              </w:rPr>
              <w:t xml:space="preserve">and </w:t>
            </w:r>
            <w:r w:rsidRPr="00247204">
              <w:rPr>
                <w:sz w:val="18"/>
                <w:szCs w:val="18"/>
              </w:rPr>
              <w:t>Thailand</w:t>
            </w:r>
            <w:r>
              <w:rPr>
                <w:sz w:val="18"/>
                <w:szCs w:val="18"/>
              </w:rPr>
              <w:t>.</w:t>
            </w:r>
          </w:p>
        </w:tc>
        <w:tc>
          <w:tcPr>
            <w:tcW w:w="4012" w:type="dxa"/>
            <w:shd w:val="clear" w:color="auto" w:fill="auto"/>
          </w:tcPr>
          <w:p w14:paraId="0805BAF5" w14:textId="77777777" w:rsidR="006D7D57" w:rsidRPr="00AF5F77" w:rsidRDefault="006D7D57" w:rsidP="002B0B3C">
            <w:pPr>
              <w:spacing w:before="0" w:line="259" w:lineRule="auto"/>
              <w:contextualSpacing/>
              <w:jc w:val="both"/>
              <w:rPr>
                <w:sz w:val="18"/>
                <w:szCs w:val="18"/>
              </w:rPr>
            </w:pPr>
            <w:r>
              <w:rPr>
                <w:sz w:val="18"/>
                <w:szCs w:val="18"/>
              </w:rPr>
              <w:t>Capacity Building</w:t>
            </w:r>
            <w:r w:rsidRPr="00247204">
              <w:rPr>
                <w:sz w:val="18"/>
                <w:szCs w:val="18"/>
              </w:rPr>
              <w:t xml:space="preserve"> Workshop</w:t>
            </w:r>
            <w:r>
              <w:rPr>
                <w:sz w:val="18"/>
                <w:szCs w:val="18"/>
              </w:rPr>
              <w:t xml:space="preserve"> (Eastern Indian Ocean) </w:t>
            </w:r>
            <w:r w:rsidRPr="00AA2894">
              <w:rPr>
                <w:sz w:val="18"/>
                <w:szCs w:val="18"/>
              </w:rPr>
              <w:t>to assist CPCs in effectively formatting and reporting fisheries data to the Secretariat in accordance with IOTC data reporting requirements. The regional data reporting workshop included training sessions focused on formatting and reporting fisheries data to the Secretariat to ensure compliance with IOTC data reporting obligations using the new forms developed by the Secretariat, together with the updated edition of the IOTC Data Reporting Guidelines and associated data tools such as the Fisheries Wizard, Data Validators and the IOTC Data Reference Catalogue.</w:t>
            </w:r>
          </w:p>
        </w:tc>
      </w:tr>
      <w:tr w:rsidR="006D7D57" w:rsidRPr="00F770AD" w14:paraId="6D7A0DBC" w14:textId="77777777" w:rsidTr="002B0B3C">
        <w:tc>
          <w:tcPr>
            <w:tcW w:w="1689" w:type="dxa"/>
            <w:shd w:val="clear" w:color="auto" w:fill="auto"/>
          </w:tcPr>
          <w:p w14:paraId="1EBF6AEF" w14:textId="77777777" w:rsidR="006D7D57" w:rsidRPr="00883B43" w:rsidRDefault="006D7D57" w:rsidP="002B0B3C">
            <w:pPr>
              <w:spacing w:after="120"/>
              <w:jc w:val="both"/>
              <w:rPr>
                <w:rFonts w:cstheme="minorHAnsi"/>
                <w:b/>
                <w:bCs/>
                <w:sz w:val="18"/>
                <w:szCs w:val="18"/>
              </w:rPr>
            </w:pPr>
            <w:r w:rsidRPr="00883B43">
              <w:rPr>
                <w:rFonts w:cstheme="minorHAnsi"/>
                <w:b/>
                <w:bCs/>
                <w:sz w:val="18"/>
                <w:szCs w:val="18"/>
              </w:rPr>
              <w:t xml:space="preserve">Indonesia </w:t>
            </w:r>
          </w:p>
          <w:p w14:paraId="3076253F" w14:textId="77777777" w:rsidR="006D7D57" w:rsidRDefault="006D7D57" w:rsidP="002B0B3C">
            <w:pPr>
              <w:spacing w:after="120"/>
              <w:jc w:val="both"/>
              <w:rPr>
                <w:rFonts w:cstheme="minorHAnsi"/>
                <w:sz w:val="18"/>
                <w:szCs w:val="18"/>
              </w:rPr>
            </w:pPr>
            <w:r>
              <w:rPr>
                <w:rFonts w:cstheme="minorHAnsi"/>
                <w:sz w:val="18"/>
                <w:szCs w:val="18"/>
              </w:rPr>
              <w:t>(in person, Jakarta)</w:t>
            </w:r>
          </w:p>
          <w:p w14:paraId="3F7FB43C" w14:textId="77777777" w:rsidR="006D7D57" w:rsidRDefault="006D7D57" w:rsidP="002B0B3C">
            <w:pPr>
              <w:spacing w:after="120"/>
              <w:jc w:val="both"/>
              <w:rPr>
                <w:rFonts w:cstheme="minorHAnsi"/>
                <w:sz w:val="18"/>
                <w:szCs w:val="18"/>
              </w:rPr>
            </w:pPr>
          </w:p>
          <w:p w14:paraId="21322D2D" w14:textId="77777777" w:rsidR="006D7D57" w:rsidRDefault="006D7D57" w:rsidP="002B0B3C">
            <w:pPr>
              <w:spacing w:after="120"/>
              <w:jc w:val="both"/>
              <w:rPr>
                <w:rFonts w:cstheme="minorHAnsi"/>
                <w:sz w:val="18"/>
                <w:szCs w:val="18"/>
              </w:rPr>
            </w:pPr>
            <w:r>
              <w:rPr>
                <w:rFonts w:cstheme="minorHAnsi"/>
                <w:sz w:val="18"/>
                <w:szCs w:val="18"/>
              </w:rPr>
              <w:t>(in person, Jakarta)</w:t>
            </w:r>
          </w:p>
          <w:p w14:paraId="1CFBE6D9" w14:textId="77777777" w:rsidR="006D7D57" w:rsidRDefault="006D7D57" w:rsidP="002B0B3C">
            <w:pPr>
              <w:spacing w:after="120"/>
              <w:jc w:val="both"/>
              <w:rPr>
                <w:rFonts w:cstheme="minorHAnsi"/>
                <w:sz w:val="18"/>
                <w:szCs w:val="18"/>
              </w:rPr>
            </w:pPr>
          </w:p>
          <w:p w14:paraId="06D3E1F6" w14:textId="77777777" w:rsidR="006D7D57" w:rsidRDefault="006D7D57" w:rsidP="002B0B3C">
            <w:pPr>
              <w:spacing w:after="120"/>
              <w:rPr>
                <w:rFonts w:asciiTheme="minorHAnsi" w:hAnsiTheme="minorHAnsi" w:cstheme="minorHAnsi"/>
              </w:rPr>
            </w:pPr>
          </w:p>
        </w:tc>
        <w:tc>
          <w:tcPr>
            <w:tcW w:w="1653" w:type="dxa"/>
            <w:shd w:val="clear" w:color="auto" w:fill="auto"/>
          </w:tcPr>
          <w:p w14:paraId="099046A7" w14:textId="77777777" w:rsidR="006D7D57" w:rsidRPr="00FD3335" w:rsidRDefault="006D7D57" w:rsidP="002B0B3C">
            <w:pPr>
              <w:spacing w:after="120"/>
              <w:rPr>
                <w:rFonts w:cstheme="minorHAnsi"/>
                <w:color w:val="000000" w:themeColor="text1"/>
                <w:sz w:val="18"/>
                <w:szCs w:val="18"/>
              </w:rPr>
            </w:pPr>
            <w:r>
              <w:rPr>
                <w:rFonts w:cstheme="minorHAnsi"/>
                <w:color w:val="000000" w:themeColor="text1"/>
                <w:sz w:val="18"/>
                <w:szCs w:val="18"/>
              </w:rPr>
              <w:t>19</w:t>
            </w:r>
            <w:r w:rsidRPr="00FD3335">
              <w:rPr>
                <w:rFonts w:cstheme="minorHAnsi"/>
                <w:color w:val="000000" w:themeColor="text1"/>
                <w:sz w:val="18"/>
                <w:szCs w:val="18"/>
              </w:rPr>
              <w:t>-</w:t>
            </w:r>
            <w:r>
              <w:rPr>
                <w:rFonts w:cstheme="minorHAnsi"/>
                <w:color w:val="000000" w:themeColor="text1"/>
                <w:sz w:val="18"/>
                <w:szCs w:val="18"/>
              </w:rPr>
              <w:t>26</w:t>
            </w:r>
            <w:r w:rsidRPr="00FD3335">
              <w:rPr>
                <w:rFonts w:cstheme="minorHAnsi"/>
                <w:color w:val="000000" w:themeColor="text1"/>
                <w:sz w:val="18"/>
                <w:szCs w:val="18"/>
              </w:rPr>
              <w:t xml:space="preserve"> </w:t>
            </w:r>
            <w:r>
              <w:rPr>
                <w:rFonts w:cstheme="minorHAnsi"/>
                <w:color w:val="000000" w:themeColor="text1"/>
                <w:sz w:val="18"/>
                <w:szCs w:val="18"/>
              </w:rPr>
              <w:t>Apr</w:t>
            </w:r>
            <w:r w:rsidRPr="00FD3335">
              <w:rPr>
                <w:rFonts w:cstheme="minorHAnsi"/>
                <w:color w:val="000000" w:themeColor="text1"/>
                <w:sz w:val="18"/>
                <w:szCs w:val="18"/>
              </w:rPr>
              <w:t xml:space="preserve"> 202</w:t>
            </w:r>
            <w:r>
              <w:rPr>
                <w:rFonts w:cstheme="minorHAnsi"/>
                <w:color w:val="000000" w:themeColor="text1"/>
                <w:sz w:val="18"/>
                <w:szCs w:val="18"/>
              </w:rPr>
              <w:t>4</w:t>
            </w:r>
          </w:p>
          <w:p w14:paraId="7EF3358D" w14:textId="77777777" w:rsidR="006D7D57" w:rsidRPr="00AF5F77" w:rsidRDefault="006D7D57" w:rsidP="002B0B3C">
            <w:pPr>
              <w:spacing w:before="0" w:line="259" w:lineRule="auto"/>
              <w:jc w:val="center"/>
              <w:rPr>
                <w:b/>
                <w:bCs/>
                <w:color w:val="000000"/>
                <w:sz w:val="18"/>
                <w:szCs w:val="18"/>
              </w:rPr>
            </w:pPr>
            <w:r w:rsidRPr="00AF5F77">
              <w:rPr>
                <w:b/>
                <w:bCs/>
                <w:sz w:val="18"/>
                <w:szCs w:val="18"/>
              </w:rPr>
              <w:t>COMPLETED</w:t>
            </w:r>
          </w:p>
          <w:p w14:paraId="535A6DF7" w14:textId="77777777" w:rsidR="006D7D57" w:rsidRDefault="006D7D57" w:rsidP="002B0B3C">
            <w:pPr>
              <w:spacing w:line="259" w:lineRule="auto"/>
              <w:jc w:val="center"/>
              <w:rPr>
                <w:rFonts w:cs="Calibri"/>
                <w:color w:val="000000"/>
                <w:sz w:val="18"/>
                <w:szCs w:val="18"/>
              </w:rPr>
            </w:pPr>
            <w:r>
              <w:rPr>
                <w:rFonts w:cs="Calibri"/>
                <w:color w:val="000000"/>
                <w:sz w:val="18"/>
                <w:szCs w:val="18"/>
              </w:rPr>
              <w:t>18-20 Oct 2024</w:t>
            </w:r>
          </w:p>
          <w:p w14:paraId="4F396D6D" w14:textId="77777777" w:rsidR="006D7D57" w:rsidRPr="00AF5F77" w:rsidRDefault="006D7D57" w:rsidP="002B0B3C">
            <w:pPr>
              <w:spacing w:line="259" w:lineRule="auto"/>
              <w:jc w:val="center"/>
              <w:rPr>
                <w:rFonts w:cs="Calibri"/>
                <w:b/>
                <w:bCs/>
                <w:color w:val="000000"/>
                <w:sz w:val="18"/>
                <w:szCs w:val="18"/>
              </w:rPr>
            </w:pPr>
            <w:r w:rsidRPr="00AF5F77">
              <w:rPr>
                <w:rFonts w:cs="Calibri"/>
                <w:b/>
                <w:bCs/>
                <w:color w:val="000000"/>
                <w:sz w:val="18"/>
                <w:szCs w:val="18"/>
              </w:rPr>
              <w:t>COMPLETED</w:t>
            </w:r>
          </w:p>
          <w:p w14:paraId="6927E07D" w14:textId="77777777" w:rsidR="006D7D57" w:rsidRDefault="006D7D57" w:rsidP="002B0B3C">
            <w:pPr>
              <w:spacing w:before="0" w:line="259" w:lineRule="auto"/>
              <w:jc w:val="center"/>
              <w:rPr>
                <w:rFonts w:cstheme="minorHAnsi"/>
                <w:color w:val="000000" w:themeColor="text1"/>
                <w:sz w:val="18"/>
                <w:szCs w:val="18"/>
              </w:rPr>
            </w:pPr>
          </w:p>
        </w:tc>
        <w:tc>
          <w:tcPr>
            <w:tcW w:w="2884" w:type="dxa"/>
            <w:shd w:val="clear" w:color="auto" w:fill="auto"/>
          </w:tcPr>
          <w:p w14:paraId="39DBF8D9"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46E663B7" w14:textId="77777777" w:rsidR="006D7D57" w:rsidRPr="00F5490E" w:rsidRDefault="006D7D57" w:rsidP="002B0B3C">
            <w:pPr>
              <w:spacing w:after="120"/>
              <w:jc w:val="both"/>
              <w:rPr>
                <w:rFonts w:cstheme="minorHAnsi"/>
                <w:color w:val="000000" w:themeColor="text1"/>
                <w:sz w:val="18"/>
                <w:szCs w:val="18"/>
              </w:rPr>
            </w:pPr>
            <w:r w:rsidRPr="009008D8">
              <w:rPr>
                <w:rFonts w:cstheme="minorHAnsi"/>
                <w:color w:val="000000" w:themeColor="text1"/>
                <w:sz w:val="18"/>
                <w:szCs w:val="18"/>
              </w:rPr>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p w14:paraId="0F8C36E1"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Representatives from</w:t>
            </w:r>
            <w:r>
              <w:rPr>
                <w:rFonts w:cstheme="minorHAnsi"/>
                <w:color w:val="000000" w:themeColor="text1"/>
                <w:sz w:val="18"/>
                <w:szCs w:val="18"/>
              </w:rPr>
              <w:t>:</w:t>
            </w:r>
            <w:r w:rsidRPr="00F5490E">
              <w:rPr>
                <w:rFonts w:cstheme="minorHAnsi"/>
                <w:color w:val="000000" w:themeColor="text1"/>
                <w:sz w:val="18"/>
                <w:szCs w:val="18"/>
              </w:rPr>
              <w:t xml:space="preserve"> </w:t>
            </w:r>
          </w:p>
          <w:p w14:paraId="11220F96" w14:textId="77777777" w:rsidR="006D7D57" w:rsidRPr="00341526" w:rsidRDefault="006D7D57" w:rsidP="006D7D57">
            <w:pPr>
              <w:pStyle w:val="ListParagraph"/>
              <w:numPr>
                <w:ilvl w:val="0"/>
                <w:numId w:val="2"/>
              </w:numPr>
              <w:spacing w:after="120"/>
              <w:jc w:val="both"/>
              <w:rPr>
                <w:rFonts w:cstheme="minorHAnsi"/>
                <w:color w:val="000000" w:themeColor="text1"/>
                <w:sz w:val="18"/>
                <w:szCs w:val="18"/>
              </w:rPr>
            </w:pPr>
            <w:r w:rsidRPr="00341526">
              <w:rPr>
                <w:rFonts w:cstheme="minorHAnsi"/>
                <w:color w:val="000000" w:themeColor="text1"/>
                <w:sz w:val="18"/>
                <w:szCs w:val="18"/>
              </w:rPr>
              <w:t>Ministry of Marine Affairs and Fisheries of Indonesia</w:t>
            </w:r>
          </w:p>
          <w:p w14:paraId="62BCA9A8" w14:textId="77777777" w:rsidR="006D7D57" w:rsidRPr="00341526" w:rsidRDefault="006D7D57" w:rsidP="006D7D57">
            <w:pPr>
              <w:pStyle w:val="ListParagraph"/>
              <w:numPr>
                <w:ilvl w:val="0"/>
                <w:numId w:val="2"/>
              </w:numPr>
              <w:spacing w:after="120"/>
              <w:jc w:val="both"/>
              <w:rPr>
                <w:rFonts w:cstheme="minorHAnsi"/>
                <w:color w:val="000000" w:themeColor="text1"/>
                <w:sz w:val="18"/>
                <w:szCs w:val="18"/>
              </w:rPr>
            </w:pPr>
            <w:r w:rsidRPr="00341526">
              <w:rPr>
                <w:rFonts w:cstheme="minorHAnsi"/>
                <w:color w:val="000000" w:themeColor="text1"/>
                <w:sz w:val="18"/>
                <w:szCs w:val="18"/>
              </w:rPr>
              <w:t>National research institutions</w:t>
            </w:r>
          </w:p>
          <w:p w14:paraId="7AC58CC3" w14:textId="77777777" w:rsidR="006D7D57" w:rsidRDefault="006D7D57" w:rsidP="006D7D57">
            <w:pPr>
              <w:pStyle w:val="ListParagraph"/>
              <w:numPr>
                <w:ilvl w:val="0"/>
                <w:numId w:val="2"/>
              </w:numPr>
              <w:spacing w:after="120"/>
              <w:jc w:val="both"/>
              <w:rPr>
                <w:rFonts w:cstheme="minorHAnsi"/>
                <w:color w:val="000000" w:themeColor="text1"/>
                <w:sz w:val="18"/>
                <w:szCs w:val="18"/>
              </w:rPr>
            </w:pPr>
            <w:r>
              <w:rPr>
                <w:rFonts w:cstheme="minorHAnsi"/>
                <w:color w:val="000000" w:themeColor="text1"/>
                <w:sz w:val="18"/>
                <w:szCs w:val="18"/>
              </w:rPr>
              <w:t>FAO (Fisheries Statistics Division)</w:t>
            </w:r>
          </w:p>
          <w:p w14:paraId="07B602EA" w14:textId="77777777" w:rsidR="006D7D57" w:rsidRPr="009008D8" w:rsidRDefault="006D7D57" w:rsidP="006D7D57">
            <w:pPr>
              <w:pStyle w:val="ListParagraph"/>
              <w:numPr>
                <w:ilvl w:val="0"/>
                <w:numId w:val="2"/>
              </w:numPr>
              <w:spacing w:after="120"/>
              <w:jc w:val="both"/>
              <w:rPr>
                <w:rFonts w:cstheme="minorHAnsi"/>
                <w:color w:val="000000" w:themeColor="text1"/>
                <w:sz w:val="18"/>
                <w:szCs w:val="18"/>
              </w:rPr>
            </w:pPr>
            <w:r>
              <w:rPr>
                <w:rFonts w:cstheme="minorHAnsi"/>
                <w:color w:val="000000" w:themeColor="text1"/>
                <w:sz w:val="18"/>
                <w:szCs w:val="18"/>
              </w:rPr>
              <w:t xml:space="preserve">International </w:t>
            </w:r>
            <w:r w:rsidRPr="00341526">
              <w:rPr>
                <w:rFonts w:cstheme="minorHAnsi"/>
                <w:color w:val="000000" w:themeColor="text1"/>
                <w:sz w:val="18"/>
                <w:szCs w:val="18"/>
              </w:rPr>
              <w:t>P</w:t>
            </w:r>
            <w:r>
              <w:rPr>
                <w:rFonts w:cstheme="minorHAnsi"/>
                <w:color w:val="000000" w:themeColor="text1"/>
                <w:sz w:val="18"/>
                <w:szCs w:val="18"/>
              </w:rPr>
              <w:t>ole and Line Foundation</w:t>
            </w:r>
          </w:p>
        </w:tc>
        <w:tc>
          <w:tcPr>
            <w:tcW w:w="4012" w:type="dxa"/>
            <w:shd w:val="clear" w:color="auto" w:fill="auto"/>
          </w:tcPr>
          <w:p w14:paraId="6C9A780A" w14:textId="77777777" w:rsidR="006D7D57" w:rsidRDefault="006D7D57" w:rsidP="002B0B3C">
            <w:pPr>
              <w:spacing w:after="120"/>
              <w:ind w:left="57"/>
              <w:jc w:val="both"/>
              <w:rPr>
                <w:sz w:val="18"/>
                <w:szCs w:val="18"/>
                <w:lang w:val="en"/>
              </w:rPr>
            </w:pPr>
            <w:r>
              <w:rPr>
                <w:sz w:val="18"/>
                <w:szCs w:val="18"/>
                <w:lang w:val="en"/>
              </w:rPr>
              <w:t>T</w:t>
            </w:r>
            <w:r w:rsidRPr="0014136E">
              <w:rPr>
                <w:sz w:val="18"/>
                <w:szCs w:val="18"/>
                <w:lang w:val="en"/>
              </w:rPr>
              <w:t>echnical support mission</w:t>
            </w:r>
            <w:r>
              <w:rPr>
                <w:sz w:val="18"/>
                <w:szCs w:val="18"/>
                <w:lang w:val="en"/>
              </w:rPr>
              <w:t>:</w:t>
            </w:r>
          </w:p>
          <w:p w14:paraId="7CFBF7D6" w14:textId="77777777" w:rsidR="006D7D57" w:rsidRPr="00FD3335" w:rsidRDefault="006D7D57" w:rsidP="002B0B3C">
            <w:pPr>
              <w:spacing w:after="120"/>
              <w:ind w:left="57"/>
              <w:jc w:val="both"/>
              <w:rPr>
                <w:sz w:val="18"/>
                <w:szCs w:val="18"/>
              </w:rPr>
            </w:pPr>
            <w:r w:rsidRPr="00633232">
              <w:rPr>
                <w:sz w:val="18"/>
                <w:szCs w:val="18"/>
              </w:rPr>
              <w:t>Continuation o</w:t>
            </w:r>
            <w:r>
              <w:rPr>
                <w:sz w:val="18"/>
                <w:szCs w:val="18"/>
              </w:rPr>
              <w:t>f</w:t>
            </w:r>
            <w:r w:rsidRPr="00633232">
              <w:rPr>
                <w:sz w:val="18"/>
                <w:szCs w:val="18"/>
              </w:rPr>
              <w:t xml:space="preserve"> the previous remote</w:t>
            </w:r>
            <w:r>
              <w:rPr>
                <w:sz w:val="18"/>
                <w:szCs w:val="18"/>
              </w:rPr>
              <w:t xml:space="preserve"> / in person </w:t>
            </w:r>
            <w:r w:rsidRPr="00633232">
              <w:rPr>
                <w:sz w:val="18"/>
                <w:szCs w:val="18"/>
              </w:rPr>
              <w:t>meetings held in 202</w:t>
            </w:r>
            <w:r w:rsidRPr="00FD3335">
              <w:rPr>
                <w:sz w:val="18"/>
                <w:szCs w:val="18"/>
              </w:rPr>
              <w:t>1</w:t>
            </w:r>
            <w:r>
              <w:rPr>
                <w:sz w:val="18"/>
                <w:szCs w:val="18"/>
              </w:rPr>
              <w:t xml:space="preserve">, </w:t>
            </w:r>
            <w:r w:rsidRPr="00FD3335">
              <w:rPr>
                <w:sz w:val="18"/>
                <w:szCs w:val="18"/>
              </w:rPr>
              <w:t>2022,</w:t>
            </w:r>
            <w:r>
              <w:rPr>
                <w:sz w:val="18"/>
                <w:szCs w:val="18"/>
              </w:rPr>
              <w:t xml:space="preserve"> and 2023</w:t>
            </w:r>
            <w:r w:rsidRPr="00FD3335">
              <w:rPr>
                <w:sz w:val="18"/>
                <w:szCs w:val="18"/>
              </w:rPr>
              <w:t xml:space="preserve"> to discuss the current state-of-the-art in terms of re-estimation procedures for Indonesia’s annual catches. </w:t>
            </w:r>
          </w:p>
          <w:p w14:paraId="695FD5A2" w14:textId="77777777" w:rsidR="006D7D57" w:rsidRPr="00286CBF" w:rsidRDefault="006D7D57" w:rsidP="006D7D57">
            <w:pPr>
              <w:pStyle w:val="ListParagraph"/>
              <w:numPr>
                <w:ilvl w:val="0"/>
                <w:numId w:val="1"/>
              </w:numPr>
              <w:spacing w:before="0" w:after="120" w:line="276" w:lineRule="auto"/>
              <w:ind w:left="183" w:hanging="142"/>
              <w:jc w:val="both"/>
              <w:rPr>
                <w:sz w:val="18"/>
                <w:szCs w:val="18"/>
              </w:rPr>
            </w:pPr>
            <w:r w:rsidRPr="00286CBF">
              <w:rPr>
                <w:sz w:val="18"/>
                <w:szCs w:val="18"/>
              </w:rPr>
              <w:t>Review the approach used by Indonesia to address the issues in historical catch estimates</w:t>
            </w:r>
          </w:p>
          <w:p w14:paraId="1C93A2A9" w14:textId="77777777" w:rsidR="006D7D57" w:rsidRPr="00286CBF" w:rsidRDefault="006D7D57" w:rsidP="006D7D57">
            <w:pPr>
              <w:pStyle w:val="ListParagraph"/>
              <w:numPr>
                <w:ilvl w:val="0"/>
                <w:numId w:val="1"/>
              </w:numPr>
              <w:spacing w:before="0" w:after="120" w:line="276" w:lineRule="auto"/>
              <w:ind w:left="183" w:hanging="142"/>
              <w:jc w:val="both"/>
              <w:rPr>
                <w:sz w:val="18"/>
                <w:szCs w:val="18"/>
              </w:rPr>
            </w:pPr>
            <w:r w:rsidRPr="00286CBF">
              <w:rPr>
                <w:sz w:val="18"/>
                <w:szCs w:val="18"/>
              </w:rPr>
              <w:t>Provide feedback and technical assistance on the method, with a major focus on coastal fisheries</w:t>
            </w:r>
          </w:p>
          <w:p w14:paraId="66D3FC11" w14:textId="77777777" w:rsidR="006D7D57" w:rsidRPr="00247204" w:rsidRDefault="006D7D57" w:rsidP="006D7D57">
            <w:pPr>
              <w:pStyle w:val="ListParagraph"/>
              <w:numPr>
                <w:ilvl w:val="0"/>
                <w:numId w:val="1"/>
              </w:numPr>
              <w:spacing w:before="0" w:after="120" w:line="276" w:lineRule="auto"/>
              <w:ind w:left="183" w:hanging="142"/>
              <w:jc w:val="both"/>
              <w:rPr>
                <w:sz w:val="18"/>
                <w:szCs w:val="18"/>
              </w:rPr>
            </w:pPr>
            <w:r w:rsidRPr="00286CBF">
              <w:rPr>
                <w:sz w:val="18"/>
                <w:szCs w:val="18"/>
              </w:rPr>
              <w:lastRenderedPageBreak/>
              <w:t>Develop a methodology to re-estimate the catches of all fisheries for the period prior to 2010 to have a continuity in the time series of catch.</w:t>
            </w:r>
          </w:p>
        </w:tc>
      </w:tr>
      <w:tr w:rsidR="006D7D57" w:rsidRPr="00F770AD" w14:paraId="2F509760" w14:textId="77777777" w:rsidTr="002B0B3C">
        <w:tc>
          <w:tcPr>
            <w:tcW w:w="1689" w:type="dxa"/>
            <w:shd w:val="clear" w:color="auto" w:fill="auto"/>
          </w:tcPr>
          <w:p w14:paraId="7E6DE545" w14:textId="77777777" w:rsidR="006D7D57" w:rsidRDefault="006D7D57" w:rsidP="002B0B3C">
            <w:pPr>
              <w:spacing w:before="0" w:line="259" w:lineRule="auto"/>
              <w:rPr>
                <w:rFonts w:cstheme="minorHAnsi"/>
                <w:b/>
                <w:bCs/>
                <w:sz w:val="18"/>
                <w:szCs w:val="18"/>
              </w:rPr>
            </w:pPr>
            <w:r w:rsidRPr="00BA2ECE">
              <w:rPr>
                <w:rFonts w:cstheme="minorHAnsi"/>
                <w:b/>
                <w:bCs/>
                <w:sz w:val="18"/>
                <w:szCs w:val="18"/>
              </w:rPr>
              <w:lastRenderedPageBreak/>
              <w:t>Mozambique</w:t>
            </w:r>
          </w:p>
          <w:p w14:paraId="5901918F" w14:textId="77777777" w:rsidR="006D7D57" w:rsidRDefault="006D7D57" w:rsidP="002B0B3C">
            <w:pPr>
              <w:spacing w:before="0" w:line="259" w:lineRule="auto"/>
              <w:rPr>
                <w:rFonts w:cstheme="minorHAnsi"/>
                <w:b/>
                <w:bCs/>
                <w:sz w:val="18"/>
                <w:szCs w:val="18"/>
              </w:rPr>
            </w:pPr>
            <w:r w:rsidRPr="00303B45">
              <w:rPr>
                <w:rFonts w:cstheme="minorHAnsi"/>
                <w:sz w:val="18"/>
                <w:szCs w:val="18"/>
              </w:rPr>
              <w:t>(in person, Maputo)</w:t>
            </w:r>
          </w:p>
        </w:tc>
        <w:tc>
          <w:tcPr>
            <w:tcW w:w="1653" w:type="dxa"/>
            <w:shd w:val="clear" w:color="auto" w:fill="auto"/>
          </w:tcPr>
          <w:p w14:paraId="2C3A00C7"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3-8</w:t>
            </w:r>
            <w:r w:rsidRPr="004E7CE7">
              <w:rPr>
                <w:rFonts w:cstheme="minorHAnsi"/>
                <w:color w:val="000000" w:themeColor="text1"/>
                <w:sz w:val="18"/>
                <w:szCs w:val="18"/>
              </w:rPr>
              <w:t xml:space="preserve"> </w:t>
            </w:r>
            <w:r>
              <w:rPr>
                <w:rFonts w:cstheme="minorHAnsi"/>
                <w:color w:val="000000" w:themeColor="text1"/>
                <w:sz w:val="18"/>
                <w:szCs w:val="18"/>
              </w:rPr>
              <w:t xml:space="preserve">May </w:t>
            </w:r>
            <w:r w:rsidRPr="004E7CE7">
              <w:rPr>
                <w:rFonts w:cstheme="minorHAnsi"/>
                <w:color w:val="000000" w:themeColor="text1"/>
                <w:sz w:val="18"/>
                <w:szCs w:val="18"/>
              </w:rPr>
              <w:t>2024</w:t>
            </w:r>
          </w:p>
          <w:p w14:paraId="483CA65D" w14:textId="77777777" w:rsidR="006D7D57" w:rsidRDefault="006D7D57" w:rsidP="002B0B3C">
            <w:pPr>
              <w:spacing w:before="0" w:line="259" w:lineRule="auto"/>
              <w:jc w:val="center"/>
              <w:rPr>
                <w:rFonts w:cstheme="minorHAnsi"/>
                <w:color w:val="000000" w:themeColor="text1"/>
                <w:sz w:val="18"/>
                <w:szCs w:val="18"/>
              </w:rPr>
            </w:pPr>
            <w:r w:rsidRPr="00AF5F77">
              <w:rPr>
                <w:rFonts w:cs="Calibri"/>
                <w:b/>
                <w:bCs/>
                <w:color w:val="000000"/>
                <w:sz w:val="18"/>
                <w:szCs w:val="18"/>
              </w:rPr>
              <w:t>COMPLETED</w:t>
            </w:r>
          </w:p>
        </w:tc>
        <w:tc>
          <w:tcPr>
            <w:tcW w:w="2884" w:type="dxa"/>
            <w:shd w:val="clear" w:color="auto" w:fill="auto"/>
          </w:tcPr>
          <w:p w14:paraId="59C70FFB" w14:textId="77777777" w:rsidR="006D7D57"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44BCF3FD"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p w14:paraId="1FE908A7" w14:textId="77777777" w:rsidR="006D7D57" w:rsidRPr="009008D8" w:rsidRDefault="006D7D57" w:rsidP="002B0B3C">
            <w:pPr>
              <w:spacing w:after="120"/>
              <w:rPr>
                <w:rFonts w:cstheme="minorHAnsi"/>
                <w:color w:val="000000" w:themeColor="text1"/>
                <w:sz w:val="18"/>
                <w:szCs w:val="18"/>
              </w:rPr>
            </w:pPr>
          </w:p>
        </w:tc>
        <w:tc>
          <w:tcPr>
            <w:tcW w:w="4012" w:type="dxa"/>
            <w:shd w:val="clear" w:color="auto" w:fill="auto"/>
          </w:tcPr>
          <w:p w14:paraId="49FDBD0B" w14:textId="77777777" w:rsidR="006D7D57" w:rsidRPr="00714AC3" w:rsidRDefault="006D7D57" w:rsidP="002B0B3C">
            <w:pPr>
              <w:spacing w:after="120"/>
              <w:jc w:val="both"/>
              <w:rPr>
                <w:sz w:val="18"/>
                <w:szCs w:val="18"/>
              </w:rPr>
            </w:pPr>
            <w:r w:rsidRPr="00714AC3">
              <w:rPr>
                <w:sz w:val="18"/>
                <w:szCs w:val="18"/>
              </w:rPr>
              <w:t>Data Technical Assistance Mission to:</w:t>
            </w:r>
          </w:p>
          <w:p w14:paraId="264A28B0" w14:textId="77777777" w:rsidR="006D7D57" w:rsidRDefault="006D7D57" w:rsidP="006D7D57">
            <w:pPr>
              <w:pStyle w:val="ListParagraph"/>
              <w:numPr>
                <w:ilvl w:val="0"/>
                <w:numId w:val="1"/>
              </w:numPr>
              <w:spacing w:before="0" w:after="120" w:line="276" w:lineRule="auto"/>
              <w:ind w:left="183" w:hanging="142"/>
              <w:jc w:val="both"/>
              <w:rPr>
                <w:sz w:val="18"/>
                <w:szCs w:val="18"/>
              </w:rPr>
            </w:pPr>
            <w:r w:rsidRPr="00DB2E6A">
              <w:rPr>
                <w:sz w:val="18"/>
                <w:szCs w:val="18"/>
              </w:rPr>
              <w:t>Assess the status of the existing data collection and reporting systems, to better understand the fisheries targeting tuna and tuna-like species in Mozambique</w:t>
            </w:r>
          </w:p>
          <w:p w14:paraId="0607ABAD" w14:textId="77777777" w:rsidR="006D7D57" w:rsidRDefault="006D7D57" w:rsidP="006D7D57">
            <w:pPr>
              <w:pStyle w:val="ListParagraph"/>
              <w:numPr>
                <w:ilvl w:val="0"/>
                <w:numId w:val="1"/>
              </w:numPr>
              <w:spacing w:before="0" w:after="120" w:line="276" w:lineRule="auto"/>
              <w:ind w:left="183" w:hanging="142"/>
              <w:jc w:val="both"/>
              <w:rPr>
                <w:sz w:val="18"/>
                <w:szCs w:val="18"/>
              </w:rPr>
            </w:pPr>
            <w:r>
              <w:rPr>
                <w:sz w:val="18"/>
                <w:szCs w:val="18"/>
              </w:rPr>
              <w:t>P</w:t>
            </w:r>
            <w:r w:rsidRPr="00DB2E6A">
              <w:rPr>
                <w:sz w:val="18"/>
                <w:szCs w:val="18"/>
              </w:rPr>
              <w:t>rovide technical advice to improve data collection and reporting to the IOTC.</w:t>
            </w:r>
          </w:p>
          <w:p w14:paraId="6F51C71D" w14:textId="77777777" w:rsidR="006D7D57" w:rsidRPr="00DB2E6A" w:rsidRDefault="006D7D57" w:rsidP="006D7D57">
            <w:pPr>
              <w:pStyle w:val="ListParagraph"/>
              <w:numPr>
                <w:ilvl w:val="0"/>
                <w:numId w:val="1"/>
              </w:numPr>
              <w:spacing w:before="0" w:after="120" w:line="276" w:lineRule="auto"/>
              <w:ind w:left="183" w:hanging="142"/>
              <w:jc w:val="both"/>
              <w:rPr>
                <w:sz w:val="18"/>
                <w:szCs w:val="18"/>
              </w:rPr>
            </w:pPr>
            <w:r>
              <w:rPr>
                <w:sz w:val="18"/>
                <w:szCs w:val="18"/>
              </w:rPr>
              <w:t>Give</w:t>
            </w:r>
            <w:r w:rsidRPr="00DB2E6A">
              <w:rPr>
                <w:sz w:val="18"/>
                <w:szCs w:val="18"/>
              </w:rPr>
              <w:t xml:space="preserve"> an overview of data reporting requirements to the IOTC and present the tools recently developed by the Secretariat to assist in data submission</w:t>
            </w:r>
            <w:r>
              <w:rPr>
                <w:sz w:val="18"/>
                <w:szCs w:val="18"/>
              </w:rPr>
              <w:t>.</w:t>
            </w:r>
          </w:p>
        </w:tc>
      </w:tr>
      <w:tr w:rsidR="006D7D57" w:rsidRPr="00F770AD" w14:paraId="55F7C35A" w14:textId="77777777" w:rsidTr="002B0B3C">
        <w:tc>
          <w:tcPr>
            <w:tcW w:w="1689" w:type="dxa"/>
            <w:shd w:val="clear" w:color="auto" w:fill="auto"/>
          </w:tcPr>
          <w:p w14:paraId="41CC10D2" w14:textId="77777777" w:rsidR="006D7D57" w:rsidRDefault="006D7D57" w:rsidP="002B0B3C">
            <w:pPr>
              <w:spacing w:before="0" w:line="259" w:lineRule="auto"/>
              <w:rPr>
                <w:rFonts w:cstheme="minorHAnsi"/>
                <w:b/>
                <w:bCs/>
                <w:sz w:val="18"/>
                <w:szCs w:val="18"/>
              </w:rPr>
            </w:pPr>
            <w:r>
              <w:rPr>
                <w:rFonts w:cstheme="minorHAnsi"/>
                <w:b/>
                <w:bCs/>
                <w:sz w:val="18"/>
                <w:szCs w:val="18"/>
              </w:rPr>
              <w:t>Kenya</w:t>
            </w:r>
          </w:p>
          <w:p w14:paraId="4CAE250D" w14:textId="77777777" w:rsidR="006D7D57" w:rsidRPr="007350CD" w:rsidRDefault="006D7D57" w:rsidP="002B0B3C">
            <w:pPr>
              <w:spacing w:before="0" w:line="259" w:lineRule="auto"/>
              <w:rPr>
                <w:rFonts w:cs="Calibri"/>
                <w:sz w:val="18"/>
                <w:szCs w:val="18"/>
                <w:highlight w:val="yellow"/>
              </w:rPr>
            </w:pPr>
            <w:r w:rsidRPr="007350CD">
              <w:rPr>
                <w:rFonts w:cstheme="minorHAnsi"/>
                <w:sz w:val="18"/>
                <w:szCs w:val="18"/>
              </w:rPr>
              <w:t xml:space="preserve"> (in person, Nairobi)</w:t>
            </w:r>
          </w:p>
        </w:tc>
        <w:tc>
          <w:tcPr>
            <w:tcW w:w="1653" w:type="dxa"/>
            <w:shd w:val="clear" w:color="auto" w:fill="auto"/>
          </w:tcPr>
          <w:p w14:paraId="4FD0389E"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27-30</w:t>
            </w:r>
            <w:r w:rsidRPr="004E7CE7">
              <w:rPr>
                <w:rFonts w:cstheme="minorHAnsi"/>
                <w:color w:val="000000" w:themeColor="text1"/>
                <w:sz w:val="18"/>
                <w:szCs w:val="18"/>
              </w:rPr>
              <w:t xml:space="preserve"> </w:t>
            </w:r>
            <w:r>
              <w:rPr>
                <w:rFonts w:cstheme="minorHAnsi"/>
                <w:color w:val="000000" w:themeColor="text1"/>
                <w:sz w:val="18"/>
                <w:szCs w:val="18"/>
              </w:rPr>
              <w:t xml:space="preserve">May </w:t>
            </w:r>
            <w:r w:rsidRPr="004E7CE7">
              <w:rPr>
                <w:rFonts w:cstheme="minorHAnsi"/>
                <w:color w:val="000000" w:themeColor="text1"/>
                <w:sz w:val="18"/>
                <w:szCs w:val="18"/>
              </w:rPr>
              <w:t>2024</w:t>
            </w:r>
          </w:p>
          <w:p w14:paraId="0218D786" w14:textId="77777777" w:rsidR="006D7D57" w:rsidRPr="00AF5F77" w:rsidDel="00C1208F" w:rsidRDefault="006D7D57" w:rsidP="002B0B3C">
            <w:pPr>
              <w:spacing w:before="0" w:line="259" w:lineRule="auto"/>
              <w:jc w:val="center"/>
              <w:rPr>
                <w:rFonts w:cs="Calibri"/>
                <w:b/>
                <w:bCs/>
                <w:color w:val="000000"/>
                <w:sz w:val="18"/>
                <w:szCs w:val="18"/>
              </w:rPr>
            </w:pPr>
            <w:r w:rsidRPr="00AF5F77">
              <w:rPr>
                <w:rFonts w:cs="Calibri"/>
                <w:b/>
                <w:bCs/>
                <w:color w:val="000000"/>
                <w:sz w:val="18"/>
                <w:szCs w:val="18"/>
              </w:rPr>
              <w:t>COMPLETED</w:t>
            </w:r>
          </w:p>
        </w:tc>
        <w:tc>
          <w:tcPr>
            <w:tcW w:w="2884" w:type="dxa"/>
            <w:shd w:val="clear" w:color="auto" w:fill="auto"/>
          </w:tcPr>
          <w:p w14:paraId="0E10E628" w14:textId="77777777" w:rsidR="006D7D57"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395A4208"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p w14:paraId="56A411E9"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6F4FEBC9" w14:textId="77777777" w:rsidR="006D7D57" w:rsidRDefault="006D7D57" w:rsidP="002B0B3C">
            <w:pPr>
              <w:spacing w:before="0" w:line="259" w:lineRule="auto"/>
              <w:jc w:val="both"/>
              <w:rPr>
                <w:rFonts w:cs="Calibri"/>
                <w:color w:val="000000"/>
                <w:sz w:val="18"/>
                <w:szCs w:val="18"/>
              </w:rPr>
            </w:pPr>
          </w:p>
          <w:p w14:paraId="68157D8C" w14:textId="77777777" w:rsidR="006D7D57" w:rsidRPr="00AF5F77" w:rsidRDefault="006D7D57" w:rsidP="002B0B3C">
            <w:pPr>
              <w:spacing w:before="0" w:line="259" w:lineRule="auto"/>
              <w:jc w:val="both"/>
              <w:rPr>
                <w:rFonts w:cs="Calibri"/>
                <w:color w:val="000000"/>
                <w:sz w:val="18"/>
                <w:szCs w:val="18"/>
              </w:rPr>
            </w:pPr>
            <w:r w:rsidRPr="00247204">
              <w:rPr>
                <w:sz w:val="18"/>
                <w:szCs w:val="18"/>
              </w:rPr>
              <w:t>1</w:t>
            </w:r>
            <w:r>
              <w:rPr>
                <w:sz w:val="18"/>
                <w:szCs w:val="18"/>
              </w:rPr>
              <w:t>7</w:t>
            </w:r>
            <w:r w:rsidRPr="00247204">
              <w:rPr>
                <w:sz w:val="18"/>
                <w:szCs w:val="18"/>
              </w:rPr>
              <w:t xml:space="preserve"> participants from Comoros, European Union, I.R. Iran, Kenya, Madagascar, Mozambique, Oman, Seychelles, Somalia, and Tanzania, Bangladesh</w:t>
            </w:r>
            <w:r>
              <w:rPr>
                <w:sz w:val="18"/>
                <w:szCs w:val="18"/>
              </w:rPr>
              <w:t>,</w:t>
            </w:r>
            <w:r w:rsidRPr="00247204">
              <w:rPr>
                <w:sz w:val="18"/>
                <w:szCs w:val="18"/>
              </w:rPr>
              <w:t xml:space="preserve"> and India</w:t>
            </w:r>
            <w:r>
              <w:rPr>
                <w:szCs w:val="18"/>
              </w:rPr>
              <w:t>.</w:t>
            </w:r>
          </w:p>
        </w:tc>
        <w:tc>
          <w:tcPr>
            <w:tcW w:w="4012" w:type="dxa"/>
            <w:shd w:val="clear" w:color="auto" w:fill="auto"/>
          </w:tcPr>
          <w:p w14:paraId="1B7E43B2" w14:textId="77777777" w:rsidR="006D7D57" w:rsidRPr="00AF5F77" w:rsidRDefault="006D7D57" w:rsidP="002B0B3C">
            <w:pPr>
              <w:spacing w:before="0" w:line="259" w:lineRule="auto"/>
              <w:contextualSpacing/>
              <w:jc w:val="both"/>
              <w:rPr>
                <w:sz w:val="18"/>
                <w:szCs w:val="18"/>
              </w:rPr>
            </w:pPr>
            <w:r>
              <w:rPr>
                <w:sz w:val="18"/>
                <w:szCs w:val="18"/>
              </w:rPr>
              <w:t>Capacity Building</w:t>
            </w:r>
            <w:r w:rsidRPr="00247204">
              <w:rPr>
                <w:sz w:val="18"/>
                <w:szCs w:val="18"/>
              </w:rPr>
              <w:t xml:space="preserve"> Workshop</w:t>
            </w:r>
            <w:r>
              <w:rPr>
                <w:sz w:val="18"/>
                <w:szCs w:val="18"/>
              </w:rPr>
              <w:t xml:space="preserve"> (Western Indian Ocean) </w:t>
            </w:r>
            <w:r w:rsidRPr="00AA2894">
              <w:rPr>
                <w:sz w:val="18"/>
                <w:szCs w:val="18"/>
              </w:rPr>
              <w:t>to assist CPCs in effectively formatting and reporting fisheries data to the Secretariat in accordance with IOTC data reporting requirements. The regional data reporting workshop included training sessions focused on formatting and reporting fisheries data to the Secretariat to ensure compliance with IOTC data reporting obligations using the new forms developed by the Secretariat, together with the updated edition of the IOTC Data Reporting Guidelines and associated data tools such as the Fisheries Wizard, Data Validators and the IOTC Data Reference Catalogue.</w:t>
            </w:r>
          </w:p>
        </w:tc>
      </w:tr>
      <w:tr w:rsidR="006D7D57" w:rsidRPr="00F770AD" w14:paraId="0C05A31D" w14:textId="77777777" w:rsidTr="002B0B3C">
        <w:tc>
          <w:tcPr>
            <w:tcW w:w="1689" w:type="dxa"/>
            <w:shd w:val="clear" w:color="auto" w:fill="auto"/>
          </w:tcPr>
          <w:p w14:paraId="1D0E3CAC" w14:textId="77777777" w:rsidR="006D7D57" w:rsidRDefault="006D7D57" w:rsidP="002B0B3C">
            <w:pPr>
              <w:spacing w:before="0" w:line="259" w:lineRule="auto"/>
              <w:rPr>
                <w:rFonts w:cstheme="minorHAnsi"/>
                <w:b/>
                <w:bCs/>
                <w:sz w:val="18"/>
                <w:szCs w:val="18"/>
              </w:rPr>
            </w:pPr>
            <w:r>
              <w:rPr>
                <w:rFonts w:cstheme="minorHAnsi"/>
                <w:b/>
                <w:bCs/>
                <w:sz w:val="18"/>
                <w:szCs w:val="18"/>
              </w:rPr>
              <w:t xml:space="preserve">Annual meeting of the </w:t>
            </w:r>
            <w:r w:rsidRPr="006B5B5C">
              <w:rPr>
                <w:rFonts w:cstheme="minorHAnsi"/>
                <w:b/>
                <w:bCs/>
                <w:sz w:val="18"/>
                <w:szCs w:val="18"/>
              </w:rPr>
              <w:t>EU R</w:t>
            </w:r>
            <w:r>
              <w:rPr>
                <w:rFonts w:cstheme="minorHAnsi"/>
                <w:b/>
                <w:bCs/>
                <w:sz w:val="18"/>
                <w:szCs w:val="18"/>
              </w:rPr>
              <w:t xml:space="preserve">CG on </w:t>
            </w:r>
            <w:r w:rsidRPr="006B5B5C">
              <w:rPr>
                <w:rFonts w:cstheme="minorHAnsi"/>
                <w:b/>
                <w:bCs/>
                <w:sz w:val="18"/>
                <w:szCs w:val="18"/>
              </w:rPr>
              <w:t xml:space="preserve">Large </w:t>
            </w:r>
            <w:proofErr w:type="spellStart"/>
            <w:r w:rsidRPr="006B5B5C">
              <w:rPr>
                <w:rFonts w:cstheme="minorHAnsi"/>
                <w:b/>
                <w:bCs/>
                <w:sz w:val="18"/>
                <w:szCs w:val="18"/>
              </w:rPr>
              <w:t>Pelagics</w:t>
            </w:r>
            <w:proofErr w:type="spellEnd"/>
            <w:r>
              <w:rPr>
                <w:rFonts w:cstheme="minorHAnsi"/>
                <w:b/>
                <w:bCs/>
                <w:sz w:val="18"/>
                <w:szCs w:val="18"/>
              </w:rPr>
              <w:t xml:space="preserve"> </w:t>
            </w:r>
          </w:p>
          <w:p w14:paraId="463A5851" w14:textId="77777777" w:rsidR="006D7D57" w:rsidRPr="00290FE1" w:rsidRDefault="006D7D57" w:rsidP="002B0B3C">
            <w:pPr>
              <w:spacing w:before="0" w:line="259" w:lineRule="auto"/>
              <w:rPr>
                <w:rFonts w:cstheme="minorHAnsi"/>
                <w:sz w:val="18"/>
                <w:szCs w:val="18"/>
              </w:rPr>
            </w:pPr>
            <w:r w:rsidRPr="00290FE1">
              <w:rPr>
                <w:rFonts w:cstheme="minorHAnsi"/>
                <w:sz w:val="18"/>
                <w:szCs w:val="18"/>
              </w:rPr>
              <w:t>(virtual</w:t>
            </w:r>
            <w:r>
              <w:rPr>
                <w:rFonts w:cstheme="minorHAnsi"/>
                <w:sz w:val="18"/>
                <w:szCs w:val="18"/>
              </w:rPr>
              <w:t>, Olhao, Portugal</w:t>
            </w:r>
            <w:r w:rsidRPr="00290FE1">
              <w:rPr>
                <w:rFonts w:cstheme="minorHAnsi"/>
                <w:sz w:val="18"/>
                <w:szCs w:val="18"/>
              </w:rPr>
              <w:t>)</w:t>
            </w:r>
          </w:p>
        </w:tc>
        <w:tc>
          <w:tcPr>
            <w:tcW w:w="1653" w:type="dxa"/>
            <w:shd w:val="clear" w:color="auto" w:fill="auto"/>
          </w:tcPr>
          <w:p w14:paraId="475B005B" w14:textId="77777777" w:rsidR="006D7D57" w:rsidRPr="00290FE1" w:rsidRDefault="006D7D57" w:rsidP="002B0B3C">
            <w:pPr>
              <w:spacing w:before="0" w:line="259" w:lineRule="auto"/>
              <w:jc w:val="center"/>
              <w:rPr>
                <w:rFonts w:cstheme="minorHAnsi"/>
                <w:sz w:val="18"/>
                <w:szCs w:val="18"/>
              </w:rPr>
            </w:pPr>
            <w:r w:rsidRPr="00290FE1">
              <w:rPr>
                <w:rFonts w:cstheme="minorHAnsi"/>
                <w:sz w:val="18"/>
                <w:szCs w:val="18"/>
              </w:rPr>
              <w:t>24-26 Jun</w:t>
            </w:r>
            <w:r>
              <w:rPr>
                <w:rFonts w:cstheme="minorHAnsi"/>
                <w:sz w:val="18"/>
                <w:szCs w:val="18"/>
              </w:rPr>
              <w:t xml:space="preserve"> 2024</w:t>
            </w:r>
          </w:p>
          <w:p w14:paraId="0929703D" w14:textId="77777777" w:rsidR="006D7D57" w:rsidRDefault="006D7D57" w:rsidP="002B0B3C">
            <w:pPr>
              <w:spacing w:before="0" w:line="259" w:lineRule="auto"/>
              <w:jc w:val="center"/>
              <w:rPr>
                <w:rFonts w:cstheme="minorHAnsi"/>
                <w:color w:val="000000" w:themeColor="text1"/>
                <w:sz w:val="18"/>
                <w:szCs w:val="18"/>
              </w:rPr>
            </w:pPr>
            <w:r>
              <w:rPr>
                <w:rFonts w:cstheme="minorHAnsi"/>
                <w:b/>
                <w:bCs/>
                <w:sz w:val="18"/>
                <w:szCs w:val="18"/>
              </w:rPr>
              <w:t>COMPLETED</w:t>
            </w:r>
          </w:p>
        </w:tc>
        <w:tc>
          <w:tcPr>
            <w:tcW w:w="2884" w:type="dxa"/>
            <w:shd w:val="clear" w:color="auto" w:fill="auto"/>
          </w:tcPr>
          <w:p w14:paraId="15C38B16"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09BB83F1" w14:textId="77777777" w:rsidR="006D7D57" w:rsidRPr="009008D8" w:rsidRDefault="006D7D57" w:rsidP="002B0B3C">
            <w:pPr>
              <w:spacing w:after="120"/>
              <w:rPr>
                <w:rFonts w:cstheme="minorHAnsi"/>
                <w:color w:val="000000" w:themeColor="text1"/>
                <w:sz w:val="18"/>
                <w:szCs w:val="18"/>
              </w:rPr>
            </w:pPr>
          </w:p>
        </w:tc>
        <w:tc>
          <w:tcPr>
            <w:tcW w:w="4012" w:type="dxa"/>
            <w:shd w:val="clear" w:color="auto" w:fill="auto"/>
          </w:tcPr>
          <w:p w14:paraId="79C169D2" w14:textId="77777777" w:rsidR="006D7D57" w:rsidRPr="00D146B4" w:rsidRDefault="006D7D57" w:rsidP="002B0B3C">
            <w:pPr>
              <w:spacing w:before="0" w:line="259" w:lineRule="auto"/>
              <w:contextualSpacing/>
              <w:jc w:val="both"/>
              <w:rPr>
                <w:sz w:val="18"/>
                <w:szCs w:val="18"/>
              </w:rPr>
            </w:pPr>
            <w:r>
              <w:rPr>
                <w:sz w:val="18"/>
                <w:szCs w:val="18"/>
              </w:rPr>
              <w:t>Presentation of a summary on data needs and gaps regarding large pelagic data in the IOTC, with a summary of EU data reporting status.</w:t>
            </w:r>
          </w:p>
        </w:tc>
      </w:tr>
      <w:tr w:rsidR="006D7D57" w:rsidRPr="00F770AD" w14:paraId="5DA8C381" w14:textId="77777777" w:rsidTr="002B0B3C">
        <w:tc>
          <w:tcPr>
            <w:tcW w:w="1689" w:type="dxa"/>
            <w:shd w:val="clear" w:color="auto" w:fill="auto"/>
          </w:tcPr>
          <w:p w14:paraId="4F4F52E5" w14:textId="77777777" w:rsidR="006D7D57" w:rsidRDefault="006D7D57" w:rsidP="002B0B3C">
            <w:pPr>
              <w:spacing w:before="0" w:line="259" w:lineRule="auto"/>
              <w:rPr>
                <w:rFonts w:cstheme="minorHAnsi"/>
                <w:b/>
                <w:bCs/>
                <w:sz w:val="18"/>
                <w:szCs w:val="18"/>
              </w:rPr>
            </w:pPr>
            <w:r w:rsidRPr="006B5B5C">
              <w:rPr>
                <w:rFonts w:cstheme="minorHAnsi"/>
                <w:b/>
                <w:bCs/>
                <w:sz w:val="18"/>
                <w:szCs w:val="18"/>
              </w:rPr>
              <w:t>Open ASFA (Aquatic Sciences and Fisheries Abstracts) Working Group</w:t>
            </w:r>
          </w:p>
          <w:p w14:paraId="312C0059" w14:textId="77777777" w:rsidR="006D7D57" w:rsidRPr="009043F3" w:rsidRDefault="006D7D57" w:rsidP="002B0B3C">
            <w:pPr>
              <w:spacing w:before="0" w:line="259" w:lineRule="auto"/>
              <w:rPr>
                <w:rFonts w:cstheme="minorHAnsi"/>
                <w:sz w:val="18"/>
                <w:szCs w:val="18"/>
              </w:rPr>
            </w:pPr>
            <w:r w:rsidRPr="009043F3">
              <w:rPr>
                <w:rFonts w:cstheme="minorHAnsi"/>
                <w:sz w:val="18"/>
                <w:szCs w:val="18"/>
              </w:rPr>
              <w:t>(virtual)</w:t>
            </w:r>
          </w:p>
        </w:tc>
        <w:tc>
          <w:tcPr>
            <w:tcW w:w="1653" w:type="dxa"/>
            <w:shd w:val="clear" w:color="auto" w:fill="auto"/>
          </w:tcPr>
          <w:p w14:paraId="0016120E"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3 Jul 2024</w:t>
            </w:r>
          </w:p>
          <w:p w14:paraId="69BF4DA5" w14:textId="77777777" w:rsidR="006D7D57" w:rsidRDefault="006D7D57" w:rsidP="002B0B3C">
            <w:pPr>
              <w:spacing w:before="0" w:line="259" w:lineRule="auto"/>
              <w:jc w:val="center"/>
              <w:rPr>
                <w:rFonts w:cstheme="minorHAnsi"/>
                <w:color w:val="000000" w:themeColor="text1"/>
                <w:sz w:val="18"/>
                <w:szCs w:val="18"/>
              </w:rPr>
            </w:pPr>
            <w:r>
              <w:rPr>
                <w:rFonts w:cstheme="minorHAnsi"/>
                <w:b/>
                <w:bCs/>
                <w:sz w:val="18"/>
                <w:szCs w:val="18"/>
              </w:rPr>
              <w:t>COMPLETED</w:t>
            </w:r>
          </w:p>
        </w:tc>
        <w:tc>
          <w:tcPr>
            <w:tcW w:w="2884" w:type="dxa"/>
            <w:shd w:val="clear" w:color="auto" w:fill="auto"/>
          </w:tcPr>
          <w:p w14:paraId="6B129360" w14:textId="77777777" w:rsidR="006D7D57"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42ACA896"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p w14:paraId="74CC4CBE" w14:textId="77777777" w:rsidR="006D7D57" w:rsidRPr="009008D8" w:rsidRDefault="006D7D57" w:rsidP="002B0B3C">
            <w:pPr>
              <w:spacing w:after="120"/>
              <w:rPr>
                <w:rFonts w:cstheme="minorHAnsi"/>
                <w:color w:val="000000" w:themeColor="text1"/>
                <w:sz w:val="18"/>
                <w:szCs w:val="18"/>
              </w:rPr>
            </w:pPr>
          </w:p>
        </w:tc>
        <w:tc>
          <w:tcPr>
            <w:tcW w:w="4012" w:type="dxa"/>
            <w:shd w:val="clear" w:color="auto" w:fill="auto"/>
          </w:tcPr>
          <w:p w14:paraId="5CA91573" w14:textId="77777777" w:rsidR="006D7D57" w:rsidRPr="00D146B4" w:rsidRDefault="006D7D57" w:rsidP="002B0B3C">
            <w:pPr>
              <w:spacing w:before="0" w:line="259" w:lineRule="auto"/>
              <w:contextualSpacing/>
              <w:jc w:val="both"/>
              <w:rPr>
                <w:sz w:val="18"/>
                <w:szCs w:val="18"/>
              </w:rPr>
            </w:pPr>
            <w:r>
              <w:rPr>
                <w:sz w:val="18"/>
                <w:szCs w:val="18"/>
              </w:rPr>
              <w:t>Revision of the ASFA terms of reference, updates and collaboration with partners.</w:t>
            </w:r>
          </w:p>
        </w:tc>
      </w:tr>
      <w:tr w:rsidR="006D7D57" w:rsidRPr="00F770AD" w14:paraId="2C935305" w14:textId="77777777" w:rsidTr="002B0B3C">
        <w:tc>
          <w:tcPr>
            <w:tcW w:w="1689" w:type="dxa"/>
            <w:shd w:val="clear" w:color="auto" w:fill="auto"/>
          </w:tcPr>
          <w:p w14:paraId="2E6106D4" w14:textId="77777777" w:rsidR="006D7D57" w:rsidRDefault="006D7D57" w:rsidP="002B0B3C">
            <w:pPr>
              <w:spacing w:before="0" w:line="259" w:lineRule="auto"/>
              <w:rPr>
                <w:rFonts w:cstheme="minorHAnsi"/>
                <w:b/>
                <w:bCs/>
                <w:sz w:val="18"/>
                <w:szCs w:val="18"/>
              </w:rPr>
            </w:pPr>
            <w:r w:rsidRPr="006B5B5C">
              <w:rPr>
                <w:rFonts w:cstheme="minorHAnsi"/>
                <w:b/>
                <w:bCs/>
                <w:sz w:val="18"/>
                <w:szCs w:val="18"/>
              </w:rPr>
              <w:t>Seychelles International Fisheries Workshop</w:t>
            </w:r>
          </w:p>
          <w:p w14:paraId="5B4FBA1F" w14:textId="77777777" w:rsidR="006D7D57" w:rsidRPr="009043F3" w:rsidRDefault="006D7D57" w:rsidP="002B0B3C">
            <w:pPr>
              <w:spacing w:before="0" w:line="259" w:lineRule="auto"/>
              <w:rPr>
                <w:rFonts w:cstheme="minorHAnsi"/>
                <w:sz w:val="18"/>
                <w:szCs w:val="18"/>
              </w:rPr>
            </w:pPr>
            <w:r w:rsidRPr="009043F3">
              <w:rPr>
                <w:rFonts w:cstheme="minorHAnsi"/>
                <w:sz w:val="18"/>
                <w:szCs w:val="18"/>
              </w:rPr>
              <w:t>(</w:t>
            </w:r>
            <w:r>
              <w:rPr>
                <w:rFonts w:cstheme="minorHAnsi"/>
                <w:sz w:val="18"/>
                <w:szCs w:val="18"/>
              </w:rPr>
              <w:t xml:space="preserve">in person, </w:t>
            </w:r>
            <w:r w:rsidRPr="009043F3">
              <w:rPr>
                <w:rFonts w:cstheme="minorHAnsi"/>
                <w:sz w:val="18"/>
                <w:szCs w:val="18"/>
              </w:rPr>
              <w:t xml:space="preserve">Victoria) </w:t>
            </w:r>
          </w:p>
        </w:tc>
        <w:tc>
          <w:tcPr>
            <w:tcW w:w="1653" w:type="dxa"/>
            <w:shd w:val="clear" w:color="auto" w:fill="auto"/>
          </w:tcPr>
          <w:p w14:paraId="1CA41F90"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19 Jul 2024</w:t>
            </w:r>
          </w:p>
          <w:p w14:paraId="5F5BAB28" w14:textId="77777777" w:rsidR="006D7D57" w:rsidRDefault="006D7D57" w:rsidP="002B0B3C">
            <w:pPr>
              <w:spacing w:before="0" w:line="259" w:lineRule="auto"/>
              <w:jc w:val="center"/>
              <w:rPr>
                <w:rFonts w:cstheme="minorHAnsi"/>
                <w:color w:val="000000" w:themeColor="text1"/>
                <w:sz w:val="18"/>
                <w:szCs w:val="18"/>
              </w:rPr>
            </w:pPr>
            <w:r>
              <w:rPr>
                <w:rFonts w:cstheme="minorHAnsi"/>
                <w:b/>
                <w:bCs/>
                <w:sz w:val="18"/>
                <w:szCs w:val="18"/>
              </w:rPr>
              <w:t>COMPLETED</w:t>
            </w:r>
          </w:p>
        </w:tc>
        <w:tc>
          <w:tcPr>
            <w:tcW w:w="2884" w:type="dxa"/>
            <w:shd w:val="clear" w:color="auto" w:fill="auto"/>
          </w:tcPr>
          <w:p w14:paraId="5AC2012F"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5FB4583E" w14:textId="77777777" w:rsidR="006D7D57" w:rsidRPr="009008D8" w:rsidRDefault="006D7D57" w:rsidP="002B0B3C">
            <w:pPr>
              <w:spacing w:after="120"/>
              <w:rPr>
                <w:rFonts w:cstheme="minorHAnsi"/>
                <w:color w:val="000000" w:themeColor="text1"/>
                <w:sz w:val="18"/>
                <w:szCs w:val="18"/>
              </w:rPr>
            </w:pPr>
          </w:p>
        </w:tc>
        <w:tc>
          <w:tcPr>
            <w:tcW w:w="4012" w:type="dxa"/>
            <w:shd w:val="clear" w:color="auto" w:fill="auto"/>
          </w:tcPr>
          <w:p w14:paraId="24AA1924" w14:textId="77777777" w:rsidR="006D7D57" w:rsidRPr="00D146B4" w:rsidRDefault="006D7D57" w:rsidP="002B0B3C">
            <w:pPr>
              <w:spacing w:before="0" w:line="259" w:lineRule="auto"/>
              <w:contextualSpacing/>
              <w:jc w:val="both"/>
              <w:rPr>
                <w:sz w:val="18"/>
                <w:szCs w:val="18"/>
              </w:rPr>
            </w:pPr>
            <w:r>
              <w:rPr>
                <w:sz w:val="18"/>
                <w:szCs w:val="18"/>
              </w:rPr>
              <w:t>Overview presentation on</w:t>
            </w:r>
            <w:r w:rsidRPr="007C536B">
              <w:rPr>
                <w:sz w:val="18"/>
                <w:szCs w:val="18"/>
              </w:rPr>
              <w:t xml:space="preserve"> IOTC</w:t>
            </w:r>
            <w:r>
              <w:rPr>
                <w:sz w:val="18"/>
                <w:szCs w:val="18"/>
              </w:rPr>
              <w:t xml:space="preserve"> mandate, functioning, fisheries, and data reporting obligations and workflow.</w:t>
            </w:r>
          </w:p>
        </w:tc>
      </w:tr>
      <w:tr w:rsidR="006D7D57" w:rsidRPr="00F770AD" w14:paraId="051A49E4" w14:textId="77777777" w:rsidTr="002B0B3C">
        <w:tc>
          <w:tcPr>
            <w:tcW w:w="1689" w:type="dxa"/>
            <w:shd w:val="clear" w:color="auto" w:fill="auto"/>
          </w:tcPr>
          <w:p w14:paraId="2AE4B199" w14:textId="77777777" w:rsidR="006D7D57" w:rsidRDefault="006D7D57" w:rsidP="002B0B3C">
            <w:pPr>
              <w:spacing w:before="0" w:line="259" w:lineRule="auto"/>
              <w:rPr>
                <w:rFonts w:cstheme="minorHAnsi"/>
                <w:b/>
                <w:bCs/>
                <w:sz w:val="18"/>
                <w:szCs w:val="18"/>
              </w:rPr>
            </w:pPr>
            <w:r>
              <w:rPr>
                <w:rFonts w:cstheme="minorHAnsi"/>
                <w:b/>
                <w:bCs/>
                <w:sz w:val="18"/>
                <w:szCs w:val="18"/>
              </w:rPr>
              <w:t>Oman</w:t>
            </w:r>
          </w:p>
          <w:p w14:paraId="227DF8B3" w14:textId="77777777" w:rsidR="006D7D57" w:rsidRDefault="006D7D57" w:rsidP="002B0B3C">
            <w:pPr>
              <w:spacing w:before="0" w:line="259" w:lineRule="auto"/>
              <w:rPr>
                <w:rFonts w:cstheme="minorHAnsi"/>
                <w:b/>
                <w:bCs/>
                <w:sz w:val="18"/>
                <w:szCs w:val="18"/>
              </w:rPr>
            </w:pPr>
            <w:r>
              <w:rPr>
                <w:rFonts w:cstheme="minorHAnsi"/>
                <w:b/>
                <w:bCs/>
                <w:sz w:val="18"/>
                <w:szCs w:val="18"/>
              </w:rPr>
              <w:t>Technical meeting</w:t>
            </w:r>
          </w:p>
          <w:p w14:paraId="55BAB4C1" w14:textId="77777777" w:rsidR="006D7D57" w:rsidRPr="00BE0A4E" w:rsidRDefault="006D7D57" w:rsidP="002B0B3C">
            <w:pPr>
              <w:spacing w:before="0" w:line="259" w:lineRule="auto"/>
              <w:rPr>
                <w:rFonts w:cstheme="minorHAnsi"/>
                <w:sz w:val="18"/>
                <w:szCs w:val="18"/>
              </w:rPr>
            </w:pPr>
            <w:r w:rsidRPr="00BE0A4E">
              <w:rPr>
                <w:rFonts w:cstheme="minorHAnsi"/>
                <w:sz w:val="18"/>
                <w:szCs w:val="18"/>
              </w:rPr>
              <w:t>(in person, Victoria)</w:t>
            </w:r>
          </w:p>
        </w:tc>
        <w:tc>
          <w:tcPr>
            <w:tcW w:w="1653" w:type="dxa"/>
            <w:shd w:val="clear" w:color="auto" w:fill="auto"/>
          </w:tcPr>
          <w:p w14:paraId="76B5461F"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29-30 Jul 2024</w:t>
            </w:r>
          </w:p>
          <w:p w14:paraId="235016B0" w14:textId="77777777" w:rsidR="006D7D57" w:rsidRPr="00BE0A4E" w:rsidRDefault="006D7D57" w:rsidP="002B0B3C">
            <w:pPr>
              <w:spacing w:before="0" w:line="259" w:lineRule="auto"/>
              <w:jc w:val="center"/>
              <w:rPr>
                <w:rFonts w:cstheme="minorHAnsi"/>
                <w:b/>
                <w:bCs/>
                <w:color w:val="000000" w:themeColor="text1"/>
                <w:sz w:val="18"/>
                <w:szCs w:val="18"/>
              </w:rPr>
            </w:pPr>
            <w:r w:rsidRPr="00BE0A4E">
              <w:rPr>
                <w:rFonts w:cstheme="minorHAnsi"/>
                <w:b/>
                <w:bCs/>
                <w:color w:val="000000" w:themeColor="text1"/>
                <w:sz w:val="18"/>
                <w:szCs w:val="18"/>
              </w:rPr>
              <w:t>COMPLETED</w:t>
            </w:r>
          </w:p>
        </w:tc>
        <w:tc>
          <w:tcPr>
            <w:tcW w:w="2884" w:type="dxa"/>
            <w:shd w:val="clear" w:color="auto" w:fill="auto"/>
          </w:tcPr>
          <w:p w14:paraId="5283287E" w14:textId="77777777" w:rsidR="006D7D57" w:rsidRDefault="006D7D57" w:rsidP="002B0B3C">
            <w:pPr>
              <w:spacing w:after="120"/>
              <w:jc w:val="both"/>
              <w:rPr>
                <w:rFonts w:cstheme="minorHAnsi"/>
                <w:color w:val="000000" w:themeColor="text1"/>
                <w:sz w:val="18"/>
                <w:szCs w:val="18"/>
              </w:rPr>
            </w:pPr>
            <w:r>
              <w:rPr>
                <w:rFonts w:cstheme="minorHAnsi"/>
                <w:color w:val="000000" w:themeColor="text1"/>
                <w:sz w:val="18"/>
                <w:szCs w:val="18"/>
              </w:rPr>
              <w:t>IOTC Fishery Officer (data)</w:t>
            </w:r>
          </w:p>
          <w:p w14:paraId="0CB5395A" w14:textId="77777777" w:rsidR="006D7D57" w:rsidRDefault="006D7D57" w:rsidP="002B0B3C">
            <w:pPr>
              <w:spacing w:after="120"/>
              <w:jc w:val="both"/>
              <w:rPr>
                <w:rFonts w:cstheme="minorHAnsi"/>
                <w:color w:val="000000" w:themeColor="text1"/>
                <w:sz w:val="18"/>
                <w:szCs w:val="18"/>
              </w:rPr>
            </w:pPr>
            <w:r>
              <w:rPr>
                <w:rFonts w:cstheme="minorHAnsi"/>
                <w:color w:val="000000" w:themeColor="text1"/>
                <w:sz w:val="18"/>
                <w:szCs w:val="18"/>
              </w:rPr>
              <w:t>IOTC Data Assistant</w:t>
            </w:r>
          </w:p>
          <w:p w14:paraId="1F65E16D" w14:textId="77777777" w:rsidR="006D7D57" w:rsidRPr="00F5490E" w:rsidRDefault="006D7D57" w:rsidP="002B0B3C">
            <w:pPr>
              <w:spacing w:after="120"/>
              <w:jc w:val="both"/>
              <w:rPr>
                <w:rFonts w:cstheme="minorHAnsi"/>
                <w:color w:val="000000" w:themeColor="text1"/>
                <w:sz w:val="18"/>
                <w:szCs w:val="18"/>
              </w:rPr>
            </w:pPr>
            <w:r w:rsidRPr="00E2200B">
              <w:rPr>
                <w:rFonts w:cstheme="minorHAnsi"/>
                <w:color w:val="000000" w:themeColor="text1"/>
                <w:sz w:val="18"/>
                <w:szCs w:val="18"/>
              </w:rPr>
              <w:t>Ministry of Agriculture and Fisheries of Oman</w:t>
            </w:r>
          </w:p>
        </w:tc>
        <w:tc>
          <w:tcPr>
            <w:tcW w:w="4012" w:type="dxa"/>
            <w:shd w:val="clear" w:color="auto" w:fill="auto"/>
          </w:tcPr>
          <w:p w14:paraId="2285E120" w14:textId="77777777" w:rsidR="006D7D57" w:rsidRDefault="006D7D57" w:rsidP="002B0B3C">
            <w:pPr>
              <w:spacing w:before="0" w:line="259" w:lineRule="auto"/>
              <w:contextualSpacing/>
              <w:jc w:val="both"/>
              <w:rPr>
                <w:sz w:val="18"/>
                <w:szCs w:val="18"/>
              </w:rPr>
            </w:pPr>
            <w:r>
              <w:rPr>
                <w:sz w:val="18"/>
                <w:szCs w:val="18"/>
              </w:rPr>
              <w:t>O</w:t>
            </w:r>
            <w:r w:rsidRPr="00D31D69">
              <w:rPr>
                <w:sz w:val="18"/>
                <w:szCs w:val="18"/>
              </w:rPr>
              <w:t>verview of Oman's fishery statistics system and catch estimation method</w:t>
            </w:r>
            <w:r>
              <w:rPr>
                <w:sz w:val="18"/>
                <w:szCs w:val="18"/>
              </w:rPr>
              <w:t>ology</w:t>
            </w:r>
            <w:r w:rsidRPr="00D31D69">
              <w:rPr>
                <w:sz w:val="18"/>
                <w:szCs w:val="18"/>
              </w:rPr>
              <w:t xml:space="preserve"> for </w:t>
            </w:r>
            <w:r>
              <w:rPr>
                <w:sz w:val="18"/>
                <w:szCs w:val="18"/>
              </w:rPr>
              <w:t xml:space="preserve">Omani </w:t>
            </w:r>
            <w:r w:rsidRPr="00D31D69">
              <w:rPr>
                <w:sz w:val="18"/>
                <w:szCs w:val="18"/>
              </w:rPr>
              <w:t>artisanal fisheries</w:t>
            </w:r>
            <w:r>
              <w:rPr>
                <w:sz w:val="18"/>
                <w:szCs w:val="18"/>
              </w:rPr>
              <w:t>, and discussions on review project of data sampling and processing procedures, with a focus on yellowfin tuna.</w:t>
            </w:r>
          </w:p>
        </w:tc>
      </w:tr>
      <w:tr w:rsidR="006D7D57" w:rsidRPr="00F770AD" w14:paraId="540FAB93" w14:textId="77777777" w:rsidTr="002B0B3C">
        <w:tc>
          <w:tcPr>
            <w:tcW w:w="1689" w:type="dxa"/>
            <w:shd w:val="clear" w:color="auto" w:fill="auto"/>
          </w:tcPr>
          <w:p w14:paraId="5C916B52" w14:textId="77777777" w:rsidR="006D7D57" w:rsidRDefault="006D7D57" w:rsidP="002B0B3C">
            <w:pPr>
              <w:spacing w:before="0" w:line="259" w:lineRule="auto"/>
              <w:rPr>
                <w:rFonts w:cstheme="minorHAnsi"/>
                <w:b/>
                <w:bCs/>
                <w:sz w:val="18"/>
                <w:szCs w:val="18"/>
              </w:rPr>
            </w:pPr>
            <w:r w:rsidRPr="006B5B5C">
              <w:rPr>
                <w:rFonts w:cstheme="minorHAnsi"/>
                <w:b/>
                <w:bCs/>
                <w:sz w:val="18"/>
                <w:szCs w:val="18"/>
              </w:rPr>
              <w:t xml:space="preserve">G16 International </w:t>
            </w:r>
            <w:r w:rsidRPr="006B5B5C">
              <w:rPr>
                <w:rFonts w:cstheme="minorHAnsi"/>
                <w:b/>
                <w:bCs/>
                <w:sz w:val="18"/>
                <w:szCs w:val="18"/>
              </w:rPr>
              <w:lastRenderedPageBreak/>
              <w:t xml:space="preserve">Fisheries Workshop </w:t>
            </w:r>
            <w:r w:rsidRPr="004359F1">
              <w:rPr>
                <w:rFonts w:cstheme="minorHAnsi"/>
                <w:sz w:val="18"/>
                <w:szCs w:val="18"/>
              </w:rPr>
              <w:t>(virtual</w:t>
            </w:r>
            <w:r>
              <w:rPr>
                <w:rFonts w:cstheme="minorHAnsi"/>
                <w:sz w:val="18"/>
                <w:szCs w:val="18"/>
              </w:rPr>
              <w:t>, Dubai, UAE</w:t>
            </w:r>
            <w:r w:rsidRPr="004359F1">
              <w:rPr>
                <w:rFonts w:cstheme="minorHAnsi"/>
                <w:sz w:val="18"/>
                <w:szCs w:val="18"/>
              </w:rPr>
              <w:t>)</w:t>
            </w:r>
          </w:p>
        </w:tc>
        <w:tc>
          <w:tcPr>
            <w:tcW w:w="1653" w:type="dxa"/>
            <w:shd w:val="clear" w:color="auto" w:fill="auto"/>
          </w:tcPr>
          <w:p w14:paraId="51CF0B2B" w14:textId="77777777" w:rsidR="006D7D57" w:rsidRPr="004359F1" w:rsidRDefault="006D7D57" w:rsidP="002B0B3C">
            <w:pPr>
              <w:spacing w:before="0" w:line="259" w:lineRule="auto"/>
              <w:jc w:val="center"/>
              <w:rPr>
                <w:rFonts w:cstheme="minorHAnsi"/>
                <w:sz w:val="18"/>
                <w:szCs w:val="18"/>
              </w:rPr>
            </w:pPr>
            <w:r w:rsidRPr="004359F1">
              <w:rPr>
                <w:rFonts w:cstheme="minorHAnsi"/>
                <w:sz w:val="18"/>
                <w:szCs w:val="18"/>
              </w:rPr>
              <w:lastRenderedPageBreak/>
              <w:t>22-26 Jul 2024</w:t>
            </w:r>
          </w:p>
          <w:p w14:paraId="0EEC5D6C" w14:textId="77777777" w:rsidR="006D7D57" w:rsidRDefault="006D7D57" w:rsidP="002B0B3C">
            <w:pPr>
              <w:spacing w:before="0" w:line="259" w:lineRule="auto"/>
              <w:jc w:val="center"/>
              <w:rPr>
                <w:rFonts w:cstheme="minorHAnsi"/>
                <w:color w:val="000000" w:themeColor="text1"/>
                <w:sz w:val="18"/>
                <w:szCs w:val="18"/>
              </w:rPr>
            </w:pPr>
            <w:r>
              <w:rPr>
                <w:rFonts w:cstheme="minorHAnsi"/>
                <w:b/>
                <w:bCs/>
                <w:sz w:val="18"/>
                <w:szCs w:val="18"/>
              </w:rPr>
              <w:t>COMPLETED</w:t>
            </w:r>
          </w:p>
        </w:tc>
        <w:tc>
          <w:tcPr>
            <w:tcW w:w="2884" w:type="dxa"/>
            <w:shd w:val="clear" w:color="auto" w:fill="auto"/>
          </w:tcPr>
          <w:p w14:paraId="1CC8A1D2" w14:textId="77777777" w:rsidR="006D7D57"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p w14:paraId="57F4C7DC" w14:textId="77777777" w:rsidR="006D7D57" w:rsidRPr="009008D8"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lastRenderedPageBreak/>
              <w:t xml:space="preserve">IOTC </w:t>
            </w:r>
            <w:r>
              <w:rPr>
                <w:rFonts w:cstheme="minorHAnsi"/>
                <w:color w:val="000000" w:themeColor="text1"/>
                <w:sz w:val="18"/>
                <w:szCs w:val="18"/>
              </w:rPr>
              <w:t>D</w:t>
            </w:r>
            <w:r w:rsidRPr="009008D8">
              <w:rPr>
                <w:rFonts w:cstheme="minorHAnsi"/>
                <w:color w:val="000000" w:themeColor="text1"/>
                <w:sz w:val="18"/>
                <w:szCs w:val="18"/>
              </w:rPr>
              <w:t xml:space="preserve">ata </w:t>
            </w:r>
            <w:r>
              <w:rPr>
                <w:rFonts w:cstheme="minorHAnsi"/>
                <w:color w:val="000000" w:themeColor="text1"/>
                <w:sz w:val="18"/>
                <w:szCs w:val="18"/>
              </w:rPr>
              <w:t>A</w:t>
            </w:r>
            <w:r w:rsidRPr="009008D8">
              <w:rPr>
                <w:rFonts w:cstheme="minorHAnsi"/>
                <w:color w:val="000000" w:themeColor="text1"/>
                <w:sz w:val="18"/>
                <w:szCs w:val="18"/>
              </w:rPr>
              <w:t>ssistant</w:t>
            </w:r>
          </w:p>
          <w:p w14:paraId="64A42334" w14:textId="77777777" w:rsidR="006D7D57" w:rsidRPr="009008D8" w:rsidRDefault="006D7D57" w:rsidP="002B0B3C">
            <w:pPr>
              <w:spacing w:after="120"/>
              <w:rPr>
                <w:rFonts w:cstheme="minorHAnsi"/>
                <w:color w:val="000000" w:themeColor="text1"/>
                <w:sz w:val="18"/>
                <w:szCs w:val="18"/>
              </w:rPr>
            </w:pPr>
          </w:p>
        </w:tc>
        <w:tc>
          <w:tcPr>
            <w:tcW w:w="4012" w:type="dxa"/>
            <w:shd w:val="clear" w:color="auto" w:fill="auto"/>
          </w:tcPr>
          <w:p w14:paraId="07E76B65" w14:textId="77777777" w:rsidR="006D7D57" w:rsidRPr="00D146B4" w:rsidRDefault="006D7D57" w:rsidP="002B0B3C">
            <w:pPr>
              <w:spacing w:before="0" w:line="259" w:lineRule="auto"/>
              <w:contextualSpacing/>
              <w:jc w:val="both"/>
              <w:rPr>
                <w:sz w:val="18"/>
                <w:szCs w:val="18"/>
              </w:rPr>
            </w:pPr>
            <w:r>
              <w:rPr>
                <w:sz w:val="18"/>
                <w:szCs w:val="18"/>
              </w:rPr>
              <w:lastRenderedPageBreak/>
              <w:t>General presentation on</w:t>
            </w:r>
            <w:r w:rsidRPr="007C536B">
              <w:rPr>
                <w:sz w:val="18"/>
                <w:szCs w:val="18"/>
              </w:rPr>
              <w:t xml:space="preserve"> IOTC</w:t>
            </w:r>
            <w:r>
              <w:rPr>
                <w:sz w:val="18"/>
                <w:szCs w:val="18"/>
              </w:rPr>
              <w:t xml:space="preserve"> mandate, functioning, and activities related to </w:t>
            </w:r>
            <w:r>
              <w:rPr>
                <w:sz w:val="18"/>
                <w:szCs w:val="18"/>
              </w:rPr>
              <w:lastRenderedPageBreak/>
              <w:t>science, compliance, and data collation and management.</w:t>
            </w:r>
          </w:p>
        </w:tc>
      </w:tr>
      <w:tr w:rsidR="006D7D57" w:rsidRPr="00F770AD" w14:paraId="75CB1E49" w14:textId="77777777" w:rsidTr="002B0B3C">
        <w:tc>
          <w:tcPr>
            <w:tcW w:w="1689" w:type="dxa"/>
            <w:shd w:val="clear" w:color="auto" w:fill="auto"/>
          </w:tcPr>
          <w:p w14:paraId="783614D8" w14:textId="77777777" w:rsidR="006D7D57" w:rsidRDefault="006D7D57" w:rsidP="002B0B3C">
            <w:pPr>
              <w:spacing w:before="0" w:line="259" w:lineRule="auto"/>
              <w:rPr>
                <w:rFonts w:cstheme="minorHAnsi"/>
                <w:b/>
                <w:bCs/>
                <w:sz w:val="18"/>
                <w:szCs w:val="18"/>
              </w:rPr>
            </w:pPr>
            <w:proofErr w:type="spellStart"/>
            <w:proofErr w:type="gramStart"/>
            <w:r>
              <w:rPr>
                <w:rFonts w:cstheme="minorHAnsi"/>
                <w:b/>
                <w:bCs/>
                <w:sz w:val="18"/>
                <w:szCs w:val="18"/>
              </w:rPr>
              <w:lastRenderedPageBreak/>
              <w:t>EU,France</w:t>
            </w:r>
            <w:proofErr w:type="spellEnd"/>
            <w:proofErr w:type="gramEnd"/>
          </w:p>
          <w:p w14:paraId="4DCA98A1" w14:textId="77777777" w:rsidR="006D7D57" w:rsidRPr="000976FF" w:rsidRDefault="006D7D57" w:rsidP="002B0B3C">
            <w:pPr>
              <w:spacing w:before="0" w:line="259" w:lineRule="auto"/>
              <w:rPr>
                <w:rFonts w:cstheme="minorHAnsi"/>
                <w:b/>
                <w:bCs/>
                <w:sz w:val="18"/>
                <w:szCs w:val="18"/>
              </w:rPr>
            </w:pPr>
            <w:r>
              <w:rPr>
                <w:rFonts w:cstheme="minorHAnsi"/>
                <w:b/>
                <w:bCs/>
                <w:sz w:val="18"/>
                <w:szCs w:val="18"/>
              </w:rPr>
              <w:t>Technical meeting</w:t>
            </w:r>
          </w:p>
          <w:p w14:paraId="704E438F" w14:textId="77777777" w:rsidR="006D7D57" w:rsidRPr="00054BB8" w:rsidRDefault="006D7D57" w:rsidP="002B0B3C">
            <w:pPr>
              <w:spacing w:before="0" w:line="259" w:lineRule="auto"/>
              <w:rPr>
                <w:rFonts w:cstheme="minorHAnsi"/>
                <w:sz w:val="18"/>
                <w:szCs w:val="18"/>
              </w:rPr>
            </w:pPr>
            <w:r w:rsidRPr="00054BB8">
              <w:rPr>
                <w:rFonts w:cstheme="minorHAnsi"/>
                <w:sz w:val="18"/>
                <w:szCs w:val="18"/>
              </w:rPr>
              <w:t>(in person, Victoria)</w:t>
            </w:r>
          </w:p>
        </w:tc>
        <w:tc>
          <w:tcPr>
            <w:tcW w:w="1653" w:type="dxa"/>
            <w:shd w:val="clear" w:color="auto" w:fill="auto"/>
          </w:tcPr>
          <w:p w14:paraId="0582B472" w14:textId="77777777" w:rsidR="006D7D57" w:rsidRPr="00054BB8" w:rsidRDefault="006D7D57" w:rsidP="002B0B3C">
            <w:pPr>
              <w:spacing w:before="0" w:line="259" w:lineRule="auto"/>
              <w:jc w:val="center"/>
              <w:rPr>
                <w:rFonts w:cstheme="minorHAnsi"/>
                <w:sz w:val="18"/>
                <w:szCs w:val="18"/>
              </w:rPr>
            </w:pPr>
            <w:r w:rsidRPr="00054BB8">
              <w:rPr>
                <w:rFonts w:cstheme="minorHAnsi"/>
                <w:sz w:val="18"/>
                <w:szCs w:val="18"/>
              </w:rPr>
              <w:t>3 Sep 2024</w:t>
            </w:r>
          </w:p>
          <w:p w14:paraId="025137AF" w14:textId="77777777" w:rsidR="006D7D57" w:rsidRPr="00054BB8" w:rsidRDefault="006D7D57" w:rsidP="002B0B3C">
            <w:pPr>
              <w:spacing w:before="0" w:line="259" w:lineRule="auto"/>
              <w:jc w:val="center"/>
              <w:rPr>
                <w:rFonts w:cstheme="minorHAnsi"/>
                <w:b/>
                <w:bCs/>
                <w:sz w:val="18"/>
                <w:szCs w:val="18"/>
              </w:rPr>
            </w:pPr>
            <w:r w:rsidRPr="00054BB8">
              <w:rPr>
                <w:rFonts w:cstheme="minorHAnsi"/>
                <w:b/>
                <w:bCs/>
                <w:sz w:val="18"/>
                <w:szCs w:val="18"/>
              </w:rPr>
              <w:t>COMPLETED</w:t>
            </w:r>
          </w:p>
        </w:tc>
        <w:tc>
          <w:tcPr>
            <w:tcW w:w="2884" w:type="dxa"/>
            <w:shd w:val="clear" w:color="auto" w:fill="auto"/>
          </w:tcPr>
          <w:p w14:paraId="00D1E5E2"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0F6CB027" w14:textId="77777777" w:rsidR="006D7D57" w:rsidRDefault="006D7D57" w:rsidP="002B0B3C">
            <w:pPr>
              <w:spacing w:after="120"/>
              <w:rPr>
                <w:rFonts w:cstheme="minorHAnsi"/>
                <w:color w:val="000000" w:themeColor="text1"/>
                <w:sz w:val="18"/>
                <w:szCs w:val="18"/>
              </w:rPr>
            </w:pPr>
            <w:r>
              <w:rPr>
                <w:rFonts w:cstheme="minorHAnsi"/>
                <w:color w:val="000000" w:themeColor="text1"/>
                <w:sz w:val="18"/>
                <w:szCs w:val="18"/>
              </w:rPr>
              <w:t>IOTC Data Assistant</w:t>
            </w:r>
          </w:p>
          <w:p w14:paraId="57AE703F" w14:textId="77777777" w:rsidR="006D7D57" w:rsidRPr="009008D8" w:rsidRDefault="006D7D57" w:rsidP="002B0B3C">
            <w:pPr>
              <w:spacing w:after="120"/>
              <w:rPr>
                <w:rFonts w:cstheme="minorHAnsi"/>
                <w:color w:val="000000" w:themeColor="text1"/>
                <w:sz w:val="18"/>
                <w:szCs w:val="18"/>
              </w:rPr>
            </w:pPr>
            <w:proofErr w:type="spellStart"/>
            <w:r>
              <w:rPr>
                <w:rFonts w:cstheme="minorHAnsi"/>
                <w:color w:val="000000" w:themeColor="text1"/>
                <w:sz w:val="18"/>
                <w:szCs w:val="18"/>
              </w:rPr>
              <w:t>Dr.</w:t>
            </w:r>
            <w:proofErr w:type="spellEnd"/>
            <w:r>
              <w:rPr>
                <w:rFonts w:cstheme="minorHAnsi"/>
                <w:color w:val="000000" w:themeColor="text1"/>
                <w:sz w:val="18"/>
                <w:szCs w:val="18"/>
              </w:rPr>
              <w:t xml:space="preserve"> Sylvain Bonhommeau (</w:t>
            </w:r>
            <w:proofErr w:type="spellStart"/>
            <w:r>
              <w:rPr>
                <w:rFonts w:cstheme="minorHAnsi"/>
                <w:color w:val="000000" w:themeColor="text1"/>
                <w:sz w:val="18"/>
                <w:szCs w:val="18"/>
              </w:rPr>
              <w:t>Ifremer</w:t>
            </w:r>
            <w:proofErr w:type="spellEnd"/>
            <w:r>
              <w:rPr>
                <w:rFonts w:cstheme="minorHAnsi"/>
                <w:color w:val="000000" w:themeColor="text1"/>
                <w:sz w:val="18"/>
                <w:szCs w:val="18"/>
              </w:rPr>
              <w:t>)</w:t>
            </w:r>
          </w:p>
        </w:tc>
        <w:tc>
          <w:tcPr>
            <w:tcW w:w="4012" w:type="dxa"/>
            <w:shd w:val="clear" w:color="auto" w:fill="auto"/>
          </w:tcPr>
          <w:p w14:paraId="5A1514C8" w14:textId="77777777" w:rsidR="006D7D57" w:rsidRDefault="006D7D57" w:rsidP="002B0B3C">
            <w:pPr>
              <w:spacing w:before="0" w:line="259" w:lineRule="auto"/>
              <w:contextualSpacing/>
              <w:jc w:val="both"/>
              <w:rPr>
                <w:sz w:val="18"/>
                <w:szCs w:val="18"/>
              </w:rPr>
            </w:pPr>
            <w:r>
              <w:rPr>
                <w:sz w:val="18"/>
                <w:szCs w:val="18"/>
              </w:rPr>
              <w:t>R</w:t>
            </w:r>
            <w:r w:rsidRPr="00054BB8">
              <w:rPr>
                <w:sz w:val="18"/>
                <w:szCs w:val="18"/>
              </w:rPr>
              <w:t xml:space="preserve">eview </w:t>
            </w:r>
            <w:r>
              <w:rPr>
                <w:sz w:val="18"/>
                <w:szCs w:val="18"/>
              </w:rPr>
              <w:t xml:space="preserve">of </w:t>
            </w:r>
            <w:r w:rsidRPr="00054BB8">
              <w:rPr>
                <w:sz w:val="18"/>
                <w:szCs w:val="18"/>
              </w:rPr>
              <w:t xml:space="preserve">the </w:t>
            </w:r>
            <w:r>
              <w:rPr>
                <w:sz w:val="18"/>
                <w:szCs w:val="18"/>
              </w:rPr>
              <w:t xml:space="preserve">data </w:t>
            </w:r>
            <w:r w:rsidRPr="00054BB8">
              <w:rPr>
                <w:sz w:val="18"/>
                <w:szCs w:val="18"/>
              </w:rPr>
              <w:t xml:space="preserve">status </w:t>
            </w:r>
            <w:r>
              <w:rPr>
                <w:sz w:val="18"/>
                <w:szCs w:val="18"/>
              </w:rPr>
              <w:t xml:space="preserve">and gaps for the </w:t>
            </w:r>
            <w:r w:rsidRPr="00054BB8">
              <w:rPr>
                <w:sz w:val="18"/>
                <w:szCs w:val="18"/>
              </w:rPr>
              <w:t xml:space="preserve">coastal fisheries </w:t>
            </w:r>
            <w:r>
              <w:rPr>
                <w:sz w:val="18"/>
                <w:szCs w:val="18"/>
              </w:rPr>
              <w:t xml:space="preserve">of Reunion </w:t>
            </w:r>
            <w:r w:rsidRPr="00054BB8">
              <w:rPr>
                <w:sz w:val="18"/>
                <w:szCs w:val="18"/>
              </w:rPr>
              <w:t>and Mayotte</w:t>
            </w:r>
            <w:r>
              <w:rPr>
                <w:sz w:val="18"/>
                <w:szCs w:val="18"/>
              </w:rPr>
              <w:t xml:space="preserve"> (</w:t>
            </w:r>
            <w:proofErr w:type="spellStart"/>
            <w:proofErr w:type="gramStart"/>
            <w:r>
              <w:rPr>
                <w:sz w:val="18"/>
                <w:szCs w:val="18"/>
              </w:rPr>
              <w:t>EU,France</w:t>
            </w:r>
            <w:proofErr w:type="spellEnd"/>
            <w:proofErr w:type="gramEnd"/>
            <w:r>
              <w:rPr>
                <w:sz w:val="18"/>
                <w:szCs w:val="18"/>
              </w:rPr>
              <w:t>) to revise and harmonise historical catch and effort data and improve future data submissions</w:t>
            </w:r>
            <w:r w:rsidRPr="00054BB8">
              <w:rPr>
                <w:sz w:val="18"/>
                <w:szCs w:val="18"/>
              </w:rPr>
              <w:t>.</w:t>
            </w:r>
          </w:p>
        </w:tc>
      </w:tr>
      <w:tr w:rsidR="006D7D57" w:rsidRPr="00F770AD" w14:paraId="5534FCA3" w14:textId="77777777" w:rsidTr="002B0B3C">
        <w:tc>
          <w:tcPr>
            <w:tcW w:w="1689" w:type="dxa"/>
            <w:shd w:val="clear" w:color="auto" w:fill="auto"/>
          </w:tcPr>
          <w:p w14:paraId="0C55CA5D" w14:textId="77777777" w:rsidR="006D7D57" w:rsidRDefault="006D7D57" w:rsidP="002B0B3C">
            <w:pPr>
              <w:spacing w:before="0" w:line="259" w:lineRule="auto"/>
              <w:rPr>
                <w:rFonts w:cstheme="minorHAnsi"/>
                <w:b/>
                <w:bCs/>
                <w:sz w:val="18"/>
                <w:szCs w:val="18"/>
              </w:rPr>
            </w:pPr>
            <w:r w:rsidRPr="00111292">
              <w:rPr>
                <w:rFonts w:cstheme="minorHAnsi"/>
                <w:b/>
                <w:bCs/>
                <w:sz w:val="18"/>
                <w:szCs w:val="18"/>
              </w:rPr>
              <w:t>EU Liaison meeting</w:t>
            </w:r>
          </w:p>
          <w:p w14:paraId="5240FE5E" w14:textId="77777777" w:rsidR="006D7D57" w:rsidRPr="00111292" w:rsidRDefault="006D7D57" w:rsidP="002B0B3C">
            <w:pPr>
              <w:spacing w:before="0" w:line="259" w:lineRule="auto"/>
              <w:rPr>
                <w:rFonts w:cstheme="minorHAnsi"/>
                <w:sz w:val="18"/>
                <w:szCs w:val="18"/>
              </w:rPr>
            </w:pPr>
            <w:r w:rsidRPr="00111292">
              <w:rPr>
                <w:rFonts w:cstheme="minorHAnsi"/>
                <w:sz w:val="18"/>
                <w:szCs w:val="18"/>
              </w:rPr>
              <w:t>(virtual)</w:t>
            </w:r>
          </w:p>
        </w:tc>
        <w:tc>
          <w:tcPr>
            <w:tcW w:w="1653" w:type="dxa"/>
            <w:shd w:val="clear" w:color="auto" w:fill="auto"/>
          </w:tcPr>
          <w:p w14:paraId="226B38E9" w14:textId="77777777" w:rsidR="006D7D57" w:rsidRPr="00111292" w:rsidRDefault="006D7D57" w:rsidP="002B0B3C">
            <w:pPr>
              <w:spacing w:before="0" w:line="259" w:lineRule="auto"/>
              <w:jc w:val="center"/>
              <w:rPr>
                <w:rFonts w:cstheme="minorHAnsi"/>
                <w:sz w:val="18"/>
                <w:szCs w:val="18"/>
              </w:rPr>
            </w:pPr>
            <w:r w:rsidRPr="00111292">
              <w:rPr>
                <w:rFonts w:cstheme="minorHAnsi"/>
                <w:sz w:val="18"/>
                <w:szCs w:val="18"/>
              </w:rPr>
              <w:t>24 - 25 Sep 2024</w:t>
            </w:r>
          </w:p>
          <w:p w14:paraId="0673178B" w14:textId="77777777" w:rsidR="006D7D57" w:rsidRPr="00111292" w:rsidRDefault="006D7D57" w:rsidP="002B0B3C">
            <w:pPr>
              <w:spacing w:before="0" w:line="259" w:lineRule="auto"/>
              <w:jc w:val="center"/>
              <w:rPr>
                <w:rFonts w:cstheme="minorHAnsi"/>
                <w:b/>
                <w:bCs/>
                <w:sz w:val="18"/>
                <w:szCs w:val="18"/>
              </w:rPr>
            </w:pPr>
            <w:r w:rsidRPr="00111292">
              <w:rPr>
                <w:rFonts w:cstheme="minorHAnsi"/>
                <w:b/>
                <w:bCs/>
                <w:sz w:val="18"/>
                <w:szCs w:val="18"/>
              </w:rPr>
              <w:t>COMPLETED</w:t>
            </w:r>
          </w:p>
        </w:tc>
        <w:tc>
          <w:tcPr>
            <w:tcW w:w="2884" w:type="dxa"/>
            <w:shd w:val="clear" w:color="auto" w:fill="auto"/>
          </w:tcPr>
          <w:p w14:paraId="085ADB42" w14:textId="77777777" w:rsidR="006D7D57" w:rsidRPr="00F5490E"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Fishery Officer (data)</w:t>
            </w:r>
          </w:p>
        </w:tc>
        <w:tc>
          <w:tcPr>
            <w:tcW w:w="4012" w:type="dxa"/>
            <w:shd w:val="clear" w:color="auto" w:fill="auto"/>
          </w:tcPr>
          <w:p w14:paraId="209A2974" w14:textId="77777777" w:rsidR="006D7D57" w:rsidRDefault="006D7D57" w:rsidP="002B0B3C">
            <w:pPr>
              <w:spacing w:before="0" w:line="259" w:lineRule="auto"/>
              <w:contextualSpacing/>
              <w:jc w:val="both"/>
              <w:rPr>
                <w:sz w:val="18"/>
                <w:szCs w:val="18"/>
              </w:rPr>
            </w:pPr>
            <w:r>
              <w:rPr>
                <w:sz w:val="18"/>
                <w:szCs w:val="18"/>
              </w:rPr>
              <w:t xml:space="preserve">Overview presentation on </w:t>
            </w:r>
            <w:r w:rsidRPr="00111292">
              <w:rPr>
                <w:sz w:val="18"/>
                <w:szCs w:val="18"/>
              </w:rPr>
              <w:t>the status of the statistical data available at the Secretariat</w:t>
            </w:r>
            <w:r>
              <w:rPr>
                <w:sz w:val="18"/>
                <w:szCs w:val="18"/>
              </w:rPr>
              <w:t xml:space="preserve"> for </w:t>
            </w:r>
            <w:r w:rsidRPr="00111292">
              <w:rPr>
                <w:sz w:val="18"/>
                <w:szCs w:val="18"/>
              </w:rPr>
              <w:t xml:space="preserve">EU </w:t>
            </w:r>
            <w:r>
              <w:rPr>
                <w:sz w:val="18"/>
                <w:szCs w:val="18"/>
              </w:rPr>
              <w:t>fisheries</w:t>
            </w:r>
            <w:r w:rsidRPr="00111292">
              <w:rPr>
                <w:sz w:val="18"/>
                <w:szCs w:val="18"/>
              </w:rPr>
              <w:t xml:space="preserve">, </w:t>
            </w:r>
            <w:r>
              <w:rPr>
                <w:sz w:val="18"/>
                <w:szCs w:val="18"/>
              </w:rPr>
              <w:t xml:space="preserve">including </w:t>
            </w:r>
            <w:r w:rsidRPr="00111292">
              <w:rPr>
                <w:sz w:val="18"/>
                <w:szCs w:val="18"/>
              </w:rPr>
              <w:t>identif</w:t>
            </w:r>
            <w:r>
              <w:rPr>
                <w:sz w:val="18"/>
                <w:szCs w:val="18"/>
              </w:rPr>
              <w:t xml:space="preserve">ication of </w:t>
            </w:r>
            <w:r w:rsidRPr="00111292">
              <w:rPr>
                <w:sz w:val="18"/>
                <w:szCs w:val="18"/>
              </w:rPr>
              <w:t>issues and improvement</w:t>
            </w:r>
            <w:r>
              <w:rPr>
                <w:sz w:val="18"/>
                <w:szCs w:val="18"/>
              </w:rPr>
              <w:t xml:space="preserve"> prospect</w:t>
            </w:r>
            <w:r w:rsidRPr="00111292">
              <w:rPr>
                <w:sz w:val="18"/>
                <w:szCs w:val="18"/>
              </w:rPr>
              <w:t>s</w:t>
            </w:r>
            <w:r>
              <w:rPr>
                <w:sz w:val="18"/>
                <w:szCs w:val="18"/>
              </w:rPr>
              <w:t>.</w:t>
            </w:r>
          </w:p>
        </w:tc>
      </w:tr>
      <w:tr w:rsidR="006D7D57" w:rsidRPr="00F770AD" w14:paraId="61CBC5F9" w14:textId="77777777" w:rsidTr="002B0B3C">
        <w:tc>
          <w:tcPr>
            <w:tcW w:w="1689" w:type="dxa"/>
            <w:shd w:val="clear" w:color="auto" w:fill="auto"/>
          </w:tcPr>
          <w:p w14:paraId="6CCCED93" w14:textId="77777777" w:rsidR="006D7D57" w:rsidRDefault="006D7D57" w:rsidP="002B0B3C">
            <w:pPr>
              <w:spacing w:before="0" w:line="259" w:lineRule="auto"/>
              <w:rPr>
                <w:rFonts w:cstheme="minorHAnsi"/>
                <w:b/>
                <w:bCs/>
                <w:sz w:val="18"/>
                <w:szCs w:val="18"/>
              </w:rPr>
            </w:pPr>
            <w:r>
              <w:rPr>
                <w:rFonts w:cstheme="minorHAnsi"/>
                <w:b/>
                <w:bCs/>
                <w:sz w:val="18"/>
                <w:szCs w:val="18"/>
              </w:rPr>
              <w:t>Sri Lanka</w:t>
            </w:r>
          </w:p>
          <w:p w14:paraId="0CC323FB" w14:textId="77777777" w:rsidR="006D7D57" w:rsidRPr="000A6D79" w:rsidRDefault="006D7D57" w:rsidP="002B0B3C">
            <w:pPr>
              <w:spacing w:before="0" w:line="259" w:lineRule="auto"/>
              <w:rPr>
                <w:rFonts w:cstheme="minorHAnsi"/>
                <w:sz w:val="18"/>
                <w:szCs w:val="18"/>
              </w:rPr>
            </w:pPr>
            <w:r w:rsidRPr="000A6D79">
              <w:rPr>
                <w:rFonts w:cstheme="minorHAnsi"/>
                <w:sz w:val="18"/>
                <w:szCs w:val="18"/>
              </w:rPr>
              <w:t>(in person, Colombo)</w:t>
            </w:r>
          </w:p>
        </w:tc>
        <w:tc>
          <w:tcPr>
            <w:tcW w:w="1653" w:type="dxa"/>
            <w:shd w:val="clear" w:color="auto" w:fill="auto"/>
          </w:tcPr>
          <w:p w14:paraId="35480629" w14:textId="77777777" w:rsidR="006D7D57" w:rsidRDefault="006D7D57" w:rsidP="002B0B3C">
            <w:pPr>
              <w:spacing w:before="0" w:line="259" w:lineRule="auto"/>
              <w:jc w:val="center"/>
              <w:rPr>
                <w:rFonts w:cstheme="minorHAnsi"/>
                <w:color w:val="000000" w:themeColor="text1"/>
                <w:sz w:val="18"/>
                <w:szCs w:val="18"/>
              </w:rPr>
            </w:pPr>
            <w:r>
              <w:rPr>
                <w:rFonts w:cstheme="minorHAnsi"/>
                <w:color w:val="000000" w:themeColor="text1"/>
                <w:sz w:val="18"/>
                <w:szCs w:val="18"/>
              </w:rPr>
              <w:t>30 Oct–4 Nov 2024</w:t>
            </w:r>
          </w:p>
          <w:p w14:paraId="272132A8" w14:textId="77777777" w:rsidR="006D7D57" w:rsidRPr="000A6D79" w:rsidRDefault="006D7D57" w:rsidP="002B0B3C">
            <w:pPr>
              <w:spacing w:before="0" w:line="259" w:lineRule="auto"/>
              <w:jc w:val="center"/>
              <w:rPr>
                <w:rFonts w:cstheme="minorHAnsi"/>
                <w:b/>
                <w:bCs/>
                <w:color w:val="000000" w:themeColor="text1"/>
                <w:sz w:val="18"/>
                <w:szCs w:val="18"/>
              </w:rPr>
            </w:pPr>
            <w:r w:rsidRPr="000A6D79">
              <w:rPr>
                <w:rFonts w:cstheme="minorHAnsi"/>
                <w:b/>
                <w:bCs/>
                <w:color w:val="000000" w:themeColor="text1"/>
                <w:sz w:val="18"/>
                <w:szCs w:val="18"/>
              </w:rPr>
              <w:t>COMPLETED</w:t>
            </w:r>
          </w:p>
        </w:tc>
        <w:tc>
          <w:tcPr>
            <w:tcW w:w="2884" w:type="dxa"/>
            <w:shd w:val="clear" w:color="auto" w:fill="auto"/>
          </w:tcPr>
          <w:p w14:paraId="3FA10FC1" w14:textId="77777777" w:rsidR="006D7D57" w:rsidRDefault="006D7D57" w:rsidP="002B0B3C">
            <w:pPr>
              <w:spacing w:after="120"/>
              <w:rPr>
                <w:rFonts w:cstheme="minorHAnsi"/>
                <w:color w:val="000000" w:themeColor="text1"/>
                <w:sz w:val="18"/>
                <w:szCs w:val="18"/>
              </w:rPr>
            </w:pPr>
            <w:r w:rsidRPr="009008D8">
              <w:rPr>
                <w:rFonts w:cstheme="minorHAnsi"/>
                <w:color w:val="000000" w:themeColor="text1"/>
                <w:sz w:val="18"/>
                <w:szCs w:val="18"/>
              </w:rPr>
              <w:t>IOTC data assistant</w:t>
            </w:r>
          </w:p>
          <w:p w14:paraId="20E625D9" w14:textId="77777777" w:rsidR="006D7D57" w:rsidRDefault="006D7D57" w:rsidP="002B0B3C">
            <w:pPr>
              <w:spacing w:after="120"/>
              <w:jc w:val="both"/>
              <w:rPr>
                <w:rFonts w:cstheme="minorHAnsi"/>
                <w:color w:val="000000" w:themeColor="text1"/>
                <w:sz w:val="18"/>
                <w:szCs w:val="18"/>
              </w:rPr>
            </w:pPr>
            <w:r w:rsidRPr="00F5490E">
              <w:rPr>
                <w:rFonts w:cstheme="minorHAnsi"/>
                <w:color w:val="000000" w:themeColor="text1"/>
                <w:sz w:val="18"/>
                <w:szCs w:val="18"/>
              </w:rPr>
              <w:t>IOTC Fisher</w:t>
            </w:r>
            <w:r>
              <w:rPr>
                <w:rFonts w:cstheme="minorHAnsi"/>
                <w:color w:val="000000" w:themeColor="text1"/>
                <w:sz w:val="18"/>
                <w:szCs w:val="18"/>
              </w:rPr>
              <w:t>ies statistician</w:t>
            </w:r>
          </w:p>
          <w:p w14:paraId="3846BB4B" w14:textId="77777777" w:rsidR="006D7D57" w:rsidRPr="009008D8" w:rsidRDefault="006D7D57" w:rsidP="002B0B3C">
            <w:pPr>
              <w:spacing w:after="120"/>
              <w:rPr>
                <w:rFonts w:cstheme="minorHAnsi"/>
                <w:color w:val="000000" w:themeColor="text1"/>
                <w:sz w:val="18"/>
                <w:szCs w:val="18"/>
              </w:rPr>
            </w:pPr>
            <w:r>
              <w:rPr>
                <w:rFonts w:cstheme="minorHAnsi"/>
                <w:color w:val="000000" w:themeColor="text1"/>
                <w:sz w:val="18"/>
                <w:szCs w:val="18"/>
              </w:rPr>
              <w:t>Consultant (Dr Paul Medley)</w:t>
            </w:r>
          </w:p>
          <w:p w14:paraId="0C8BEE56" w14:textId="77777777" w:rsidR="006D7D57" w:rsidRPr="009008D8" w:rsidRDefault="006D7D57" w:rsidP="002B0B3C">
            <w:pPr>
              <w:spacing w:after="120"/>
              <w:rPr>
                <w:rFonts w:cstheme="minorHAnsi"/>
                <w:color w:val="000000" w:themeColor="text1"/>
                <w:sz w:val="18"/>
                <w:szCs w:val="18"/>
              </w:rPr>
            </w:pPr>
          </w:p>
        </w:tc>
        <w:tc>
          <w:tcPr>
            <w:tcW w:w="4012" w:type="dxa"/>
            <w:shd w:val="clear" w:color="auto" w:fill="auto"/>
          </w:tcPr>
          <w:p w14:paraId="6F4314A8" w14:textId="77777777" w:rsidR="006D7D57" w:rsidRDefault="006D7D57" w:rsidP="002B0B3C">
            <w:pPr>
              <w:spacing w:before="0" w:line="259" w:lineRule="auto"/>
              <w:contextualSpacing/>
              <w:jc w:val="both"/>
              <w:rPr>
                <w:sz w:val="18"/>
                <w:szCs w:val="18"/>
              </w:rPr>
            </w:pPr>
            <w:r w:rsidRPr="00D146B4">
              <w:rPr>
                <w:sz w:val="18"/>
                <w:szCs w:val="18"/>
              </w:rPr>
              <w:t>IOTC Data Support Mission</w:t>
            </w:r>
            <w:r>
              <w:rPr>
                <w:sz w:val="18"/>
                <w:szCs w:val="18"/>
              </w:rPr>
              <w:t xml:space="preserve"> to:</w:t>
            </w:r>
          </w:p>
          <w:p w14:paraId="7B7C72CE" w14:textId="77777777" w:rsidR="006D7D57" w:rsidRPr="00D146B4" w:rsidRDefault="006D7D57" w:rsidP="006D7D57">
            <w:pPr>
              <w:pStyle w:val="ListParagraph"/>
              <w:numPr>
                <w:ilvl w:val="0"/>
                <w:numId w:val="1"/>
              </w:numPr>
              <w:spacing w:before="0" w:after="120" w:line="276" w:lineRule="auto"/>
              <w:ind w:left="183" w:hanging="142"/>
              <w:jc w:val="both"/>
              <w:rPr>
                <w:sz w:val="18"/>
                <w:szCs w:val="18"/>
              </w:rPr>
            </w:pPr>
            <w:r>
              <w:rPr>
                <w:sz w:val="18"/>
                <w:szCs w:val="18"/>
              </w:rPr>
              <w:t>Assess t</w:t>
            </w:r>
            <w:r w:rsidRPr="00D146B4">
              <w:rPr>
                <w:sz w:val="18"/>
                <w:szCs w:val="18"/>
              </w:rPr>
              <w:t>he status of the fisheries of Sri Lanka in the context of IOTC data requirements (Item 3 of the Programme Work of the WDPCS19). Work would also focus on the transition to the new IOTC forms for reporting data to the Secretariat.</w:t>
            </w:r>
          </w:p>
          <w:p w14:paraId="704D39C0" w14:textId="77777777" w:rsidR="006D7D57" w:rsidRPr="00D146B4" w:rsidRDefault="006D7D57" w:rsidP="006D7D57">
            <w:pPr>
              <w:pStyle w:val="ListParagraph"/>
              <w:numPr>
                <w:ilvl w:val="0"/>
                <w:numId w:val="1"/>
              </w:numPr>
              <w:spacing w:before="0" w:after="120" w:line="276" w:lineRule="auto"/>
              <w:ind w:left="183" w:hanging="142"/>
              <w:jc w:val="both"/>
              <w:rPr>
                <w:sz w:val="18"/>
                <w:szCs w:val="18"/>
              </w:rPr>
            </w:pPr>
            <w:r>
              <w:rPr>
                <w:sz w:val="18"/>
                <w:szCs w:val="18"/>
              </w:rPr>
              <w:t>Evaluate t</w:t>
            </w:r>
            <w:r w:rsidRPr="00D146B4">
              <w:rPr>
                <w:sz w:val="18"/>
                <w:szCs w:val="18"/>
              </w:rPr>
              <w:t>he availability of fisheries data for deriving ind</w:t>
            </w:r>
            <w:r>
              <w:rPr>
                <w:sz w:val="18"/>
                <w:szCs w:val="18"/>
              </w:rPr>
              <w:t>ices</w:t>
            </w:r>
            <w:r w:rsidRPr="00D146B4">
              <w:rPr>
                <w:sz w:val="18"/>
                <w:szCs w:val="18"/>
              </w:rPr>
              <w:t xml:space="preserve"> of abundance from gillnet CPUE time series as requested by the SC26 and </w:t>
            </w:r>
            <w:r>
              <w:rPr>
                <w:sz w:val="18"/>
                <w:szCs w:val="18"/>
              </w:rPr>
              <w:t>S28</w:t>
            </w:r>
            <w:r w:rsidRPr="00D146B4">
              <w:rPr>
                <w:sz w:val="18"/>
                <w:szCs w:val="18"/>
              </w:rPr>
              <w:t xml:space="preserve">. </w:t>
            </w:r>
          </w:p>
          <w:p w14:paraId="5DAD70C3" w14:textId="77777777" w:rsidR="006D7D57" w:rsidRPr="00D146B4" w:rsidRDefault="006D7D57" w:rsidP="006D7D57">
            <w:pPr>
              <w:pStyle w:val="ListParagraph"/>
              <w:numPr>
                <w:ilvl w:val="0"/>
                <w:numId w:val="1"/>
              </w:numPr>
              <w:spacing w:before="0" w:after="120" w:line="276" w:lineRule="auto"/>
              <w:ind w:left="183" w:hanging="142"/>
              <w:jc w:val="both"/>
              <w:rPr>
                <w:sz w:val="18"/>
                <w:szCs w:val="18"/>
              </w:rPr>
            </w:pPr>
            <w:r>
              <w:rPr>
                <w:sz w:val="18"/>
                <w:szCs w:val="18"/>
              </w:rPr>
              <w:t>Assess t</w:t>
            </w:r>
            <w:r w:rsidRPr="00D146B4">
              <w:rPr>
                <w:sz w:val="18"/>
                <w:szCs w:val="18"/>
              </w:rPr>
              <w:t xml:space="preserve">he status of the EM project and </w:t>
            </w:r>
            <w:r>
              <w:rPr>
                <w:sz w:val="18"/>
                <w:szCs w:val="18"/>
              </w:rPr>
              <w:t xml:space="preserve">determine </w:t>
            </w:r>
            <w:r w:rsidRPr="00D146B4">
              <w:rPr>
                <w:sz w:val="18"/>
                <w:szCs w:val="18"/>
              </w:rPr>
              <w:t>which support could be provided by the Secretariat for its continuation</w:t>
            </w:r>
            <w:r>
              <w:rPr>
                <w:sz w:val="18"/>
                <w:szCs w:val="18"/>
              </w:rPr>
              <w:t>.</w:t>
            </w:r>
          </w:p>
        </w:tc>
      </w:tr>
    </w:tbl>
    <w:p w14:paraId="72E93F39" w14:textId="77777777" w:rsidR="00FD2906" w:rsidRDefault="00FD2906"/>
    <w:sectPr w:rsidR="00FD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C20F8"/>
    <w:multiLevelType w:val="hybridMultilevel"/>
    <w:tmpl w:val="265C09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7A3023F"/>
    <w:multiLevelType w:val="hybridMultilevel"/>
    <w:tmpl w:val="908E3846"/>
    <w:lvl w:ilvl="0" w:tplc="28F82738">
      <w:start w:val="1"/>
      <w:numFmt w:val="bullet"/>
      <w:lvlText w:val=""/>
      <w:lvlJc w:val="left"/>
      <w:pPr>
        <w:ind w:left="417" w:hanging="360"/>
      </w:pPr>
      <w:rPr>
        <w:rFonts w:ascii="Symbol" w:hAnsi="Symbol" w:hint="default"/>
        <w:sz w:val="20"/>
        <w:szCs w:val="20"/>
      </w:rPr>
    </w:lvl>
    <w:lvl w:ilvl="1" w:tplc="08090003" w:tentative="1">
      <w:start w:val="1"/>
      <w:numFmt w:val="bullet"/>
      <w:lvlText w:val="o"/>
      <w:lvlJc w:val="left"/>
      <w:pPr>
        <w:ind w:left="1137" w:hanging="360"/>
      </w:pPr>
      <w:rPr>
        <w:rFonts w:ascii="Courier New" w:hAnsi="Courier New" w:cs="Courier New" w:hint="default"/>
      </w:rPr>
    </w:lvl>
    <w:lvl w:ilvl="2" w:tplc="08090005" w:tentative="1">
      <w:start w:val="1"/>
      <w:numFmt w:val="bullet"/>
      <w:lvlText w:val=""/>
      <w:lvlJc w:val="left"/>
      <w:pPr>
        <w:ind w:left="1857" w:hanging="360"/>
      </w:pPr>
      <w:rPr>
        <w:rFonts w:ascii="Wingdings" w:hAnsi="Wingdings" w:hint="default"/>
      </w:rPr>
    </w:lvl>
    <w:lvl w:ilvl="3" w:tplc="08090001" w:tentative="1">
      <w:start w:val="1"/>
      <w:numFmt w:val="bullet"/>
      <w:lvlText w:val=""/>
      <w:lvlJc w:val="left"/>
      <w:pPr>
        <w:ind w:left="2577" w:hanging="360"/>
      </w:pPr>
      <w:rPr>
        <w:rFonts w:ascii="Symbol" w:hAnsi="Symbol" w:hint="default"/>
      </w:rPr>
    </w:lvl>
    <w:lvl w:ilvl="4" w:tplc="08090003" w:tentative="1">
      <w:start w:val="1"/>
      <w:numFmt w:val="bullet"/>
      <w:lvlText w:val="o"/>
      <w:lvlJc w:val="left"/>
      <w:pPr>
        <w:ind w:left="3297" w:hanging="360"/>
      </w:pPr>
      <w:rPr>
        <w:rFonts w:ascii="Courier New" w:hAnsi="Courier New" w:cs="Courier New" w:hint="default"/>
      </w:rPr>
    </w:lvl>
    <w:lvl w:ilvl="5" w:tplc="08090005" w:tentative="1">
      <w:start w:val="1"/>
      <w:numFmt w:val="bullet"/>
      <w:lvlText w:val=""/>
      <w:lvlJc w:val="left"/>
      <w:pPr>
        <w:ind w:left="4017" w:hanging="360"/>
      </w:pPr>
      <w:rPr>
        <w:rFonts w:ascii="Wingdings" w:hAnsi="Wingdings" w:hint="default"/>
      </w:rPr>
    </w:lvl>
    <w:lvl w:ilvl="6" w:tplc="08090001" w:tentative="1">
      <w:start w:val="1"/>
      <w:numFmt w:val="bullet"/>
      <w:lvlText w:val=""/>
      <w:lvlJc w:val="left"/>
      <w:pPr>
        <w:ind w:left="4737" w:hanging="360"/>
      </w:pPr>
      <w:rPr>
        <w:rFonts w:ascii="Symbol" w:hAnsi="Symbol" w:hint="default"/>
      </w:rPr>
    </w:lvl>
    <w:lvl w:ilvl="7" w:tplc="08090003" w:tentative="1">
      <w:start w:val="1"/>
      <w:numFmt w:val="bullet"/>
      <w:lvlText w:val="o"/>
      <w:lvlJc w:val="left"/>
      <w:pPr>
        <w:ind w:left="5457" w:hanging="360"/>
      </w:pPr>
      <w:rPr>
        <w:rFonts w:ascii="Courier New" w:hAnsi="Courier New" w:cs="Courier New" w:hint="default"/>
      </w:rPr>
    </w:lvl>
    <w:lvl w:ilvl="8" w:tplc="08090005" w:tentative="1">
      <w:start w:val="1"/>
      <w:numFmt w:val="bullet"/>
      <w:lvlText w:val=""/>
      <w:lvlJc w:val="left"/>
      <w:pPr>
        <w:ind w:left="6177" w:hanging="360"/>
      </w:pPr>
      <w:rPr>
        <w:rFonts w:ascii="Wingdings" w:hAnsi="Wingdings" w:hint="default"/>
      </w:rPr>
    </w:lvl>
  </w:abstractNum>
  <w:num w:numId="1" w16cid:durableId="1049066396">
    <w:abstractNumId w:val="1"/>
  </w:num>
  <w:num w:numId="2" w16cid:durableId="153453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3N7YwN7UwMTYwMTNW0lEKTi0uzszPAykwrAUArIzkeiwAAAA="/>
  </w:docVars>
  <w:rsids>
    <w:rsidRoot w:val="006D7D57"/>
    <w:rsid w:val="00086B2B"/>
    <w:rsid w:val="006D7D57"/>
    <w:rsid w:val="006E1FA8"/>
    <w:rsid w:val="00AF28D0"/>
    <w:rsid w:val="00FD2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E302"/>
  <w15:chartTrackingRefBased/>
  <w15:docId w15:val="{3D20B115-774E-449D-86BC-8A84E790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57"/>
    <w:pPr>
      <w:spacing w:before="120" w:after="0" w:line="240" w:lineRule="auto"/>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uiPriority w:val="9"/>
    <w:qFormat/>
    <w:rsid w:val="006D7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D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D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D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D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D57"/>
    <w:rPr>
      <w:rFonts w:eastAsiaTheme="majorEastAsia" w:cstheme="majorBidi"/>
      <w:color w:val="272727" w:themeColor="text1" w:themeTint="D8"/>
    </w:rPr>
  </w:style>
  <w:style w:type="paragraph" w:styleId="Title">
    <w:name w:val="Title"/>
    <w:basedOn w:val="Normal"/>
    <w:next w:val="Normal"/>
    <w:link w:val="TitleChar"/>
    <w:uiPriority w:val="10"/>
    <w:qFormat/>
    <w:rsid w:val="006D7D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D57"/>
    <w:pPr>
      <w:spacing w:before="160"/>
      <w:jc w:val="center"/>
    </w:pPr>
    <w:rPr>
      <w:i/>
      <w:iCs/>
      <w:color w:val="404040" w:themeColor="text1" w:themeTint="BF"/>
    </w:rPr>
  </w:style>
  <w:style w:type="character" w:customStyle="1" w:styleId="QuoteChar">
    <w:name w:val="Quote Char"/>
    <w:basedOn w:val="DefaultParagraphFont"/>
    <w:link w:val="Quote"/>
    <w:uiPriority w:val="29"/>
    <w:rsid w:val="006D7D57"/>
    <w:rPr>
      <w:i/>
      <w:iCs/>
      <w:color w:val="404040" w:themeColor="text1" w:themeTint="BF"/>
    </w:rPr>
  </w:style>
  <w:style w:type="paragraph" w:styleId="ListParagraph">
    <w:name w:val="List Paragraph"/>
    <w:basedOn w:val="Normal"/>
    <w:uiPriority w:val="34"/>
    <w:qFormat/>
    <w:rsid w:val="006D7D57"/>
    <w:pPr>
      <w:ind w:left="720"/>
      <w:contextualSpacing/>
    </w:pPr>
  </w:style>
  <w:style w:type="character" w:styleId="IntenseEmphasis">
    <w:name w:val="Intense Emphasis"/>
    <w:basedOn w:val="DefaultParagraphFont"/>
    <w:uiPriority w:val="21"/>
    <w:qFormat/>
    <w:rsid w:val="006D7D57"/>
    <w:rPr>
      <w:i/>
      <w:iCs/>
      <w:color w:val="0F4761" w:themeColor="accent1" w:themeShade="BF"/>
    </w:rPr>
  </w:style>
  <w:style w:type="paragraph" w:styleId="IntenseQuote">
    <w:name w:val="Intense Quote"/>
    <w:basedOn w:val="Normal"/>
    <w:next w:val="Normal"/>
    <w:link w:val="IntenseQuoteChar"/>
    <w:uiPriority w:val="30"/>
    <w:qFormat/>
    <w:rsid w:val="006D7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D57"/>
    <w:rPr>
      <w:i/>
      <w:iCs/>
      <w:color w:val="0F4761" w:themeColor="accent1" w:themeShade="BF"/>
    </w:rPr>
  </w:style>
  <w:style w:type="character" w:styleId="IntenseReference">
    <w:name w:val="Intense Reference"/>
    <w:basedOn w:val="DefaultParagraphFont"/>
    <w:uiPriority w:val="32"/>
    <w:qFormat/>
    <w:rsid w:val="006D7D57"/>
    <w:rPr>
      <w:b/>
      <w:bCs/>
      <w:smallCaps/>
      <w:color w:val="0F4761" w:themeColor="accent1" w:themeShade="BF"/>
      <w:spacing w:val="5"/>
    </w:rPr>
  </w:style>
  <w:style w:type="table" w:customStyle="1" w:styleId="TableGrid1">
    <w:name w:val="Table Grid1"/>
    <w:basedOn w:val="TableNormal"/>
    <w:next w:val="TableGrid"/>
    <w:uiPriority w:val="39"/>
    <w:rsid w:val="006D7D57"/>
    <w:pPr>
      <w:spacing w:after="0" w:line="240" w:lineRule="auto"/>
    </w:pPr>
    <w:rPr>
      <w:rFonts w:ascii="Calibri" w:eastAsia="Calibri" w:hAnsi="Calibri"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D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Lucia (NFITD)</dc:creator>
  <cp:keywords/>
  <dc:description/>
  <cp:lastModifiedBy>Pierre, Lucia (NFITD)</cp:lastModifiedBy>
  <cp:revision>1</cp:revision>
  <dcterms:created xsi:type="dcterms:W3CDTF">2024-11-11T04:44:00Z</dcterms:created>
  <dcterms:modified xsi:type="dcterms:W3CDTF">2024-11-11T05:22:00Z</dcterms:modified>
</cp:coreProperties>
</file>