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4389B" w14:textId="775CCB18" w:rsidR="007A2B9A" w:rsidRPr="008B71B1" w:rsidRDefault="008B71B1" w:rsidP="007A2B9A">
      <w:pPr>
        <w:pStyle w:val="Title"/>
        <w:rPr>
          <w:caps w:val="0"/>
          <w:smallCaps/>
          <w:sz w:val="32"/>
          <w:szCs w:val="32"/>
        </w:rPr>
      </w:pPr>
      <w:r w:rsidRPr="008B71B1">
        <w:rPr>
          <w:caps w:val="0"/>
          <w:smallCaps/>
          <w:sz w:val="32"/>
          <w:szCs w:val="32"/>
        </w:rPr>
        <w:t>Summary of updates on data-related requests from other Working Parties</w:t>
      </w:r>
    </w:p>
    <w:p w14:paraId="465C675A" w14:textId="1D564B0C" w:rsidR="007A2B9A" w:rsidRPr="002066EF" w:rsidRDefault="007A2B9A" w:rsidP="007A2B9A">
      <w:pPr>
        <w:pStyle w:val="Authorandrevision"/>
      </w:pPr>
      <w:r w:rsidRPr="002066EF">
        <w:t xml:space="preserve">Prepared by: </w:t>
      </w:r>
      <w:r w:rsidR="006B1F40" w:rsidRPr="002066EF">
        <w:t>IOTC Secretariat</w:t>
      </w:r>
      <w:r w:rsidRPr="002066EF">
        <w:t xml:space="preserve">, </w:t>
      </w:r>
      <w:r w:rsidR="00AB3CC8" w:rsidRPr="002066EF">
        <w:t xml:space="preserve">Last updated: </w:t>
      </w:r>
      <w:proofErr w:type="spellStart"/>
      <w:r w:rsidR="00856B77">
        <w:t>XX</w:t>
      </w:r>
      <w:r w:rsidR="00110FE1">
        <w:rPr>
          <w:vertAlign w:val="superscript"/>
        </w:rPr>
        <w:t>th</w:t>
      </w:r>
      <w:proofErr w:type="spellEnd"/>
      <w:r w:rsidR="006B1F40" w:rsidRPr="002066EF">
        <w:t xml:space="preserve"> November </w:t>
      </w:r>
      <w:r w:rsidR="00B157C2" w:rsidRPr="002066EF">
        <w:t>202</w:t>
      </w:r>
      <w:r w:rsidR="00856B77">
        <w:t>4</w:t>
      </w:r>
    </w:p>
    <w:p w14:paraId="61F5C7C0" w14:textId="022BCC3C" w:rsidR="007A2B9A" w:rsidRPr="002066EF" w:rsidRDefault="006B1F40" w:rsidP="007A2B9A">
      <w:pPr>
        <w:pStyle w:val="Heading1"/>
      </w:pPr>
      <w:r w:rsidRPr="002066EF">
        <w:t>Purpose</w:t>
      </w:r>
    </w:p>
    <w:p w14:paraId="6546D942" w14:textId="6A89B3E3" w:rsidR="006B1F40" w:rsidRPr="002066EF" w:rsidRDefault="006B1F40" w:rsidP="006B1F40">
      <w:r w:rsidRPr="002066EF">
        <w:t xml:space="preserve">To provide participants at the </w:t>
      </w:r>
      <w:r w:rsidR="00856B77">
        <w:t>20</w:t>
      </w:r>
      <w:r w:rsidRPr="002066EF">
        <w:rPr>
          <w:vertAlign w:val="superscript"/>
        </w:rPr>
        <w:t>th</w:t>
      </w:r>
      <w:r w:rsidRPr="002066EF">
        <w:t xml:space="preserve"> Working Party on Data Collection and Statistics (WPDCS</w:t>
      </w:r>
      <w:r w:rsidR="00856B77">
        <w:t>20</w:t>
      </w:r>
      <w:r w:rsidRPr="002066EF">
        <w:t xml:space="preserve">) with </w:t>
      </w:r>
      <w:r w:rsidR="00401B9D">
        <w:t xml:space="preserve">data-related requests </w:t>
      </w:r>
      <w:r w:rsidR="00DA2561">
        <w:t xml:space="preserve">made by </w:t>
      </w:r>
      <w:r w:rsidR="00897722">
        <w:t xml:space="preserve">the Scientific Committee and the </w:t>
      </w:r>
      <w:r w:rsidR="00DA2561">
        <w:t>other Working Parties</w:t>
      </w:r>
      <w:r w:rsidR="00216C24">
        <w:t xml:space="preserve"> and Working Groups to the WPDCS</w:t>
      </w:r>
      <w:r w:rsidRPr="002066EF">
        <w:t>.</w:t>
      </w:r>
    </w:p>
    <w:p w14:paraId="1E27CE51" w14:textId="5A74FBEA" w:rsidR="006B1F40" w:rsidRPr="002066EF" w:rsidRDefault="006B1F40" w:rsidP="006B1F40">
      <w:pPr>
        <w:pStyle w:val="Heading1"/>
      </w:pPr>
      <w:r w:rsidRPr="002066EF">
        <w:t>Recommendation</w:t>
      </w:r>
    </w:p>
    <w:p w14:paraId="54F11D38" w14:textId="79020B8F" w:rsidR="006B1F40" w:rsidRPr="002066EF" w:rsidRDefault="006B1F40" w:rsidP="006463E0">
      <w:r w:rsidRPr="002066EF">
        <w:t>That the WPDCS</w:t>
      </w:r>
      <w:r w:rsidR="006463E0">
        <w:t xml:space="preserve"> </w:t>
      </w:r>
      <w:r w:rsidRPr="002066EF">
        <w:rPr>
          <w:b/>
          <w:bCs/>
        </w:rPr>
        <w:t>NOTE</w:t>
      </w:r>
      <w:r w:rsidRPr="002066EF">
        <w:t xml:space="preserve"> paper IOTC</w:t>
      </w:r>
      <w:r w:rsidR="00C7717D">
        <w:t>-</w:t>
      </w:r>
      <w:r w:rsidRPr="002066EF">
        <w:t>20</w:t>
      </w:r>
      <w:r w:rsidR="00112E14" w:rsidRPr="002066EF">
        <w:t>2</w:t>
      </w:r>
      <w:r w:rsidR="00856B77">
        <w:t>4</w:t>
      </w:r>
      <w:r w:rsidR="00C7717D">
        <w:t>-</w:t>
      </w:r>
      <w:r w:rsidRPr="002066EF">
        <w:t>WPDCS</w:t>
      </w:r>
      <w:r w:rsidR="00856B77">
        <w:t>20</w:t>
      </w:r>
      <w:r w:rsidR="00C7717D">
        <w:t>-</w:t>
      </w:r>
      <w:r w:rsidR="00F741A6">
        <w:t xml:space="preserve">12 </w:t>
      </w:r>
      <w:r w:rsidRPr="002066EF">
        <w:t>which detail</w:t>
      </w:r>
      <w:r w:rsidR="004C2B76">
        <w:t>s</w:t>
      </w:r>
      <w:r w:rsidRPr="002066EF">
        <w:t xml:space="preserve"> the </w:t>
      </w:r>
      <w:r w:rsidR="006463E0">
        <w:t>data-related requests</w:t>
      </w:r>
      <w:r w:rsidR="004C2B76">
        <w:t xml:space="preserve"> made </w:t>
      </w:r>
      <w:r w:rsidR="001B4D59">
        <w:t xml:space="preserve">to the WPDCS that should be addressed during </w:t>
      </w:r>
      <w:r w:rsidR="00716B93">
        <w:t xml:space="preserve">the </w:t>
      </w:r>
      <w:r w:rsidR="001B4D59">
        <w:t>meeting</w:t>
      </w:r>
      <w:r w:rsidR="007F49EB">
        <w:t>.</w:t>
      </w:r>
    </w:p>
    <w:p w14:paraId="6F7EAA54" w14:textId="2C30F881" w:rsidR="006B1F40" w:rsidRPr="002066EF" w:rsidRDefault="006B1F40" w:rsidP="006B1F40">
      <w:pPr>
        <w:pStyle w:val="Heading1"/>
      </w:pPr>
      <w:r w:rsidRPr="002066EF">
        <w:t>Appendices</w:t>
      </w:r>
    </w:p>
    <w:p w14:paraId="6314B666" w14:textId="5A13AF53" w:rsidR="00647A7F" w:rsidRDefault="006B1F40" w:rsidP="00647A7F">
      <w:r w:rsidRPr="002066EF">
        <w:rPr>
          <w:b/>
          <w:bCs/>
        </w:rPr>
        <w:t>Appendix A</w:t>
      </w:r>
      <w:r w:rsidRPr="002066EF">
        <w:t xml:space="preserve">: </w:t>
      </w:r>
      <w:bookmarkStart w:id="0" w:name="_Hlk120175096"/>
      <w:r w:rsidR="003A080B">
        <w:t xml:space="preserve">Paragraphs </w:t>
      </w:r>
      <w:r w:rsidR="00155261">
        <w:t xml:space="preserve">of reports from IOTC meetings </w:t>
      </w:r>
      <w:r w:rsidR="003E13B4">
        <w:t xml:space="preserve">along with the description of </w:t>
      </w:r>
      <w:r w:rsidR="003A080B">
        <w:t>d</w:t>
      </w:r>
      <w:r w:rsidR="00040751">
        <w:t xml:space="preserve">ata-related requests made </w:t>
      </w:r>
      <w:r w:rsidR="00410785">
        <w:t>to the WPDCS</w:t>
      </w:r>
      <w:r w:rsidR="00040751">
        <w:t>.</w:t>
      </w:r>
      <w:bookmarkEnd w:id="0"/>
    </w:p>
    <w:p w14:paraId="03B224BC" w14:textId="77777777" w:rsidR="00647A7F" w:rsidRPr="002066EF" w:rsidRDefault="00647A7F" w:rsidP="00647A7F"/>
    <w:p w14:paraId="317B8D80" w14:textId="2CA6525A" w:rsidR="00647A7F" w:rsidRPr="002066EF" w:rsidRDefault="00647A7F" w:rsidP="00647A7F">
      <w:pPr>
        <w:sectPr w:rsidR="00647A7F" w:rsidRPr="002066EF" w:rsidSect="00A3458C">
          <w:headerReference w:type="default" r:id="rId8"/>
          <w:footerReference w:type="default" r:id="rId9"/>
          <w:headerReference w:type="first" r:id="rId10"/>
          <w:footerReference w:type="first" r:id="rId11"/>
          <w:pgSz w:w="11906" w:h="16838"/>
          <w:pgMar w:top="206" w:right="707" w:bottom="709" w:left="709" w:header="283" w:footer="567" w:gutter="0"/>
          <w:cols w:space="708"/>
          <w:titlePg/>
          <w:docGrid w:linePitch="360"/>
        </w:sectPr>
      </w:pPr>
    </w:p>
    <w:p w14:paraId="2A5FCFD2" w14:textId="0C250CFF" w:rsidR="007A2B9A" w:rsidRPr="002066EF" w:rsidRDefault="00647A7F" w:rsidP="00647A7F">
      <w:pPr>
        <w:pStyle w:val="Heading1"/>
        <w:jc w:val="center"/>
      </w:pPr>
      <w:bookmarkStart w:id="1" w:name="_Appendix_A_Progress"/>
      <w:bookmarkEnd w:id="1"/>
      <w:r w:rsidRPr="002066EF">
        <w:lastRenderedPageBreak/>
        <w:t>Appendix A</w:t>
      </w:r>
      <w:r w:rsidRPr="002066EF">
        <w:br/>
      </w:r>
      <w:r w:rsidR="00813251">
        <w:t>Paragraphs of reports from IOTC meetings along with the description of data-related requests made to the WPDCS</w:t>
      </w:r>
      <w:r w:rsidR="00813251" w:rsidRPr="00410785">
        <w:t xml:space="preserve"> </w:t>
      </w:r>
    </w:p>
    <w:tbl>
      <w:tblPr>
        <w:tblW w:w="15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43"/>
        <w:gridCol w:w="709"/>
        <w:gridCol w:w="12658"/>
      </w:tblGrid>
      <w:tr w:rsidR="000C3CA4" w:rsidRPr="00783159" w14:paraId="182278A9" w14:textId="77777777" w:rsidTr="005600B4">
        <w:trPr>
          <w:tblHeader/>
        </w:trPr>
        <w:tc>
          <w:tcPr>
            <w:tcW w:w="1843" w:type="dxa"/>
            <w:shd w:val="clear" w:color="auto" w:fill="C5E0B3" w:themeFill="accent6" w:themeFillTint="66"/>
            <w:vAlign w:val="center"/>
          </w:tcPr>
          <w:p w14:paraId="142CBEB0" w14:textId="77777777" w:rsidR="000C3CA4" w:rsidRPr="00783159" w:rsidRDefault="000C3CA4" w:rsidP="00C07E2D">
            <w:pPr>
              <w:spacing w:after="0"/>
              <w:jc w:val="center"/>
              <w:rPr>
                <w:rFonts w:eastAsia="MS Mincho"/>
                <w:b/>
              </w:rPr>
            </w:pPr>
            <w:r>
              <w:rPr>
                <w:rFonts w:eastAsia="MS Mincho"/>
                <w:b/>
              </w:rPr>
              <w:t>Meeting</w:t>
            </w:r>
          </w:p>
        </w:tc>
        <w:tc>
          <w:tcPr>
            <w:tcW w:w="709" w:type="dxa"/>
            <w:shd w:val="clear" w:color="auto" w:fill="C5E0B3" w:themeFill="accent6" w:themeFillTint="66"/>
          </w:tcPr>
          <w:p w14:paraId="139C1020" w14:textId="77777777" w:rsidR="000C3CA4" w:rsidRPr="00783159" w:rsidRDefault="000C3CA4" w:rsidP="00C07E2D">
            <w:pPr>
              <w:spacing w:after="0"/>
              <w:jc w:val="center"/>
              <w:rPr>
                <w:rFonts w:eastAsia="MS Mincho"/>
                <w:b/>
              </w:rPr>
            </w:pPr>
            <w:r>
              <w:rPr>
                <w:rFonts w:eastAsia="MS Mincho"/>
                <w:b/>
              </w:rPr>
              <w:t>Para.</w:t>
            </w:r>
          </w:p>
        </w:tc>
        <w:tc>
          <w:tcPr>
            <w:tcW w:w="12658" w:type="dxa"/>
            <w:shd w:val="clear" w:color="auto" w:fill="C5E0B3" w:themeFill="accent6" w:themeFillTint="66"/>
            <w:vAlign w:val="center"/>
          </w:tcPr>
          <w:p w14:paraId="65235937" w14:textId="77777777" w:rsidR="000C3CA4" w:rsidRPr="00783159" w:rsidRDefault="000C3CA4" w:rsidP="00C07E2D">
            <w:pPr>
              <w:spacing w:after="0"/>
              <w:jc w:val="center"/>
              <w:rPr>
                <w:rFonts w:eastAsia="MS Mincho"/>
                <w:b/>
              </w:rPr>
            </w:pPr>
            <w:r>
              <w:rPr>
                <w:rFonts w:eastAsia="MS Mincho"/>
                <w:b/>
              </w:rPr>
              <w:t>Description</w:t>
            </w:r>
          </w:p>
        </w:tc>
      </w:tr>
      <w:tr w:rsidR="006E373A" w:rsidRPr="00783159" w14:paraId="74F63126" w14:textId="77777777" w:rsidTr="00A246BD">
        <w:tc>
          <w:tcPr>
            <w:tcW w:w="1843" w:type="dxa"/>
            <w:shd w:val="clear" w:color="auto" w:fill="E2EFD9" w:themeFill="accent6" w:themeFillTint="33"/>
          </w:tcPr>
          <w:p w14:paraId="01A10F60" w14:textId="77777777" w:rsidR="006E373A" w:rsidRDefault="006E373A" w:rsidP="006E373A">
            <w:pPr>
              <w:jc w:val="center"/>
              <w:rPr>
                <w:rFonts w:eastAsia="Calibri"/>
                <w:b/>
                <w:bCs/>
                <w:lang w:val="en-AU" w:eastAsia="fr-FR"/>
              </w:rPr>
            </w:pPr>
            <w:r>
              <w:rPr>
                <w:rFonts w:eastAsia="Calibri"/>
                <w:b/>
                <w:bCs/>
                <w:lang w:val="en-AU" w:eastAsia="fr-FR"/>
              </w:rPr>
              <w:t>WPDCS19</w:t>
            </w:r>
          </w:p>
          <w:p w14:paraId="15F30805" w14:textId="1AD795A4" w:rsidR="006E373A" w:rsidRDefault="006E373A" w:rsidP="006E373A">
            <w:pPr>
              <w:jc w:val="center"/>
              <w:rPr>
                <w:rFonts w:eastAsia="Calibri"/>
                <w:b/>
                <w:bCs/>
                <w:lang w:val="en-AU" w:eastAsia="fr-FR"/>
              </w:rPr>
            </w:pPr>
            <w:r>
              <w:rPr>
                <w:rFonts w:eastAsia="Calibri"/>
                <w:b/>
                <w:bCs/>
                <w:lang w:val="en-AU" w:eastAsia="fr-FR"/>
              </w:rPr>
              <w:t>(November 2023)</w:t>
            </w:r>
          </w:p>
        </w:tc>
        <w:tc>
          <w:tcPr>
            <w:tcW w:w="709" w:type="dxa"/>
            <w:shd w:val="clear" w:color="auto" w:fill="E2EFD9" w:themeFill="accent6" w:themeFillTint="33"/>
          </w:tcPr>
          <w:p w14:paraId="27876316" w14:textId="77777777" w:rsidR="006E373A" w:rsidRDefault="006E373A" w:rsidP="00A246BD">
            <w:pPr>
              <w:jc w:val="center"/>
              <w:rPr>
                <w:b/>
                <w:iCs/>
                <w:snapToGrid w:val="0"/>
                <w:kern w:val="1"/>
              </w:rPr>
            </w:pPr>
            <w:r>
              <w:rPr>
                <w:b/>
                <w:iCs/>
                <w:snapToGrid w:val="0"/>
                <w:kern w:val="1"/>
              </w:rPr>
              <w:t>69</w:t>
            </w:r>
          </w:p>
        </w:tc>
        <w:tc>
          <w:tcPr>
            <w:tcW w:w="12658" w:type="dxa"/>
            <w:shd w:val="clear" w:color="auto" w:fill="E2EFD9" w:themeFill="accent6" w:themeFillTint="33"/>
          </w:tcPr>
          <w:p w14:paraId="0FF11079" w14:textId="77777777" w:rsidR="006E373A" w:rsidRPr="00F7036D" w:rsidRDefault="006E373A" w:rsidP="00A246BD">
            <w:pPr>
              <w:pStyle w:val="Default"/>
              <w:rPr>
                <w:lang/>
              </w:rPr>
            </w:pPr>
            <w:r w:rsidRPr="00F7036D">
              <w:rPr>
                <w:lang/>
              </w:rPr>
              <w:t xml:space="preserve">Eventually, the WPDCS </w:t>
            </w:r>
            <w:r w:rsidRPr="00F7036D">
              <w:rPr>
                <w:b/>
                <w:bCs/>
                <w:lang/>
              </w:rPr>
              <w:t xml:space="preserve">ENDORSED </w:t>
            </w:r>
            <w:r w:rsidRPr="00F7036D">
              <w:rPr>
                <w:lang/>
              </w:rPr>
              <w:t xml:space="preserve">the use of Form 3-DA from the next data reporting cycle, </w:t>
            </w:r>
            <w:r w:rsidRPr="00F7036D">
              <w:rPr>
                <w:b/>
                <w:bCs/>
                <w:lang/>
              </w:rPr>
              <w:t xml:space="preserve">REQUESTED </w:t>
            </w:r>
            <w:r w:rsidRPr="00F7036D">
              <w:rPr>
                <w:lang/>
              </w:rPr>
              <w:t xml:space="preserve">that the SC defines procedures for scientist to get access to more fine-grained data extracted from its submissions, and </w:t>
            </w:r>
            <w:r w:rsidRPr="00F7036D">
              <w:rPr>
                <w:b/>
                <w:bCs/>
                <w:lang/>
              </w:rPr>
              <w:t xml:space="preserve">AGREED </w:t>
            </w:r>
            <w:r w:rsidRPr="00F7036D">
              <w:rPr>
                <w:lang/>
              </w:rPr>
              <w:t xml:space="preserve">on publicly disseminating information duly aggregated by grid and month in the meantime. </w:t>
            </w:r>
          </w:p>
          <w:p w14:paraId="2E119E64" w14:textId="77777777" w:rsidR="006E373A" w:rsidRPr="00F7036D" w:rsidRDefault="006E373A" w:rsidP="00A246BD">
            <w:pPr>
              <w:pStyle w:val="Default"/>
              <w:rPr>
                <w:lang/>
              </w:rPr>
            </w:pPr>
          </w:p>
        </w:tc>
      </w:tr>
      <w:tr w:rsidR="006E373A" w:rsidRPr="00783159" w14:paraId="3A4F21C5" w14:textId="77777777" w:rsidTr="00A246BD">
        <w:tc>
          <w:tcPr>
            <w:tcW w:w="1843" w:type="dxa"/>
            <w:shd w:val="clear" w:color="auto" w:fill="E2EFD9" w:themeFill="accent6" w:themeFillTint="33"/>
          </w:tcPr>
          <w:p w14:paraId="23C8824E" w14:textId="77777777" w:rsidR="006E373A" w:rsidRDefault="006E373A" w:rsidP="00A246BD">
            <w:pPr>
              <w:jc w:val="center"/>
              <w:rPr>
                <w:rFonts w:eastAsia="Calibri"/>
                <w:b/>
                <w:bCs/>
                <w:lang w:val="en-AU" w:eastAsia="fr-FR"/>
              </w:rPr>
            </w:pPr>
          </w:p>
        </w:tc>
        <w:tc>
          <w:tcPr>
            <w:tcW w:w="709" w:type="dxa"/>
            <w:shd w:val="clear" w:color="auto" w:fill="E2EFD9" w:themeFill="accent6" w:themeFillTint="33"/>
          </w:tcPr>
          <w:p w14:paraId="5E3BBBC8" w14:textId="77777777" w:rsidR="006E373A" w:rsidRDefault="006E373A" w:rsidP="00A246BD">
            <w:pPr>
              <w:jc w:val="center"/>
              <w:rPr>
                <w:b/>
                <w:iCs/>
                <w:snapToGrid w:val="0"/>
                <w:kern w:val="1"/>
              </w:rPr>
            </w:pPr>
            <w:r>
              <w:rPr>
                <w:b/>
                <w:iCs/>
                <w:snapToGrid w:val="0"/>
                <w:kern w:val="1"/>
              </w:rPr>
              <w:t>70</w:t>
            </w:r>
          </w:p>
        </w:tc>
        <w:tc>
          <w:tcPr>
            <w:tcW w:w="12658" w:type="dxa"/>
            <w:shd w:val="clear" w:color="auto" w:fill="E2EFD9" w:themeFill="accent6" w:themeFillTint="33"/>
          </w:tcPr>
          <w:p w14:paraId="349FD281" w14:textId="77777777" w:rsidR="006E373A" w:rsidRPr="00F7036D" w:rsidRDefault="006E373A" w:rsidP="00A246BD">
            <w:pPr>
              <w:pStyle w:val="Default"/>
              <w:rPr>
                <w:lang/>
              </w:rPr>
            </w:pPr>
            <w:r w:rsidRPr="00F7036D">
              <w:rPr>
                <w:lang/>
              </w:rPr>
              <w:t xml:space="preserve">Finally, the WPDCS </w:t>
            </w:r>
            <w:r w:rsidRPr="00F7036D">
              <w:rPr>
                <w:b/>
                <w:bCs/>
                <w:lang/>
              </w:rPr>
              <w:t xml:space="preserve">REQUESTED </w:t>
            </w:r>
            <w:r w:rsidRPr="00F7036D">
              <w:rPr>
                <w:lang/>
              </w:rPr>
              <w:t xml:space="preserve">that CPCs with fisheries on DFOBs also report to the Secretariat their historical data through both Form 3-CE (when not done already) and 3-DA. </w:t>
            </w:r>
          </w:p>
          <w:p w14:paraId="725B7973" w14:textId="77777777" w:rsidR="006E373A" w:rsidRPr="00F7036D" w:rsidRDefault="006E373A" w:rsidP="00A246BD">
            <w:pPr>
              <w:pStyle w:val="Default"/>
              <w:rPr>
                <w:lang/>
              </w:rPr>
            </w:pPr>
          </w:p>
        </w:tc>
      </w:tr>
      <w:tr w:rsidR="006E373A" w:rsidRPr="00783159" w14:paraId="0BCF2A3E" w14:textId="77777777" w:rsidTr="00A246BD">
        <w:tc>
          <w:tcPr>
            <w:tcW w:w="1843" w:type="dxa"/>
            <w:shd w:val="clear" w:color="auto" w:fill="E2EFD9" w:themeFill="accent6" w:themeFillTint="33"/>
          </w:tcPr>
          <w:p w14:paraId="6D5366BC" w14:textId="77777777" w:rsidR="006E373A" w:rsidRDefault="006E373A" w:rsidP="00A246BD">
            <w:pPr>
              <w:jc w:val="center"/>
              <w:rPr>
                <w:rFonts w:eastAsia="Calibri"/>
                <w:b/>
                <w:bCs/>
                <w:lang w:val="en-AU" w:eastAsia="fr-FR"/>
              </w:rPr>
            </w:pPr>
          </w:p>
        </w:tc>
        <w:tc>
          <w:tcPr>
            <w:tcW w:w="709" w:type="dxa"/>
            <w:shd w:val="clear" w:color="auto" w:fill="E2EFD9" w:themeFill="accent6" w:themeFillTint="33"/>
          </w:tcPr>
          <w:p w14:paraId="33991E2D" w14:textId="77777777" w:rsidR="006E373A" w:rsidRDefault="006E373A" w:rsidP="00A246BD">
            <w:pPr>
              <w:jc w:val="center"/>
              <w:rPr>
                <w:b/>
                <w:iCs/>
                <w:snapToGrid w:val="0"/>
                <w:kern w:val="1"/>
              </w:rPr>
            </w:pPr>
            <w:r>
              <w:rPr>
                <w:b/>
                <w:iCs/>
                <w:snapToGrid w:val="0"/>
                <w:kern w:val="1"/>
              </w:rPr>
              <w:t>74</w:t>
            </w:r>
          </w:p>
        </w:tc>
        <w:tc>
          <w:tcPr>
            <w:tcW w:w="12658" w:type="dxa"/>
            <w:shd w:val="clear" w:color="auto" w:fill="E2EFD9" w:themeFill="accent6" w:themeFillTint="33"/>
          </w:tcPr>
          <w:p w14:paraId="14278323" w14:textId="77777777" w:rsidR="006E373A" w:rsidRDefault="006E373A" w:rsidP="00A246BD">
            <w:pPr>
              <w:pStyle w:val="Default"/>
            </w:pPr>
            <w:r w:rsidRPr="00F7036D">
              <w:rPr>
                <w:lang/>
              </w:rPr>
              <w:t xml:space="preserve">Furthermore, the WPDCS </w:t>
            </w:r>
            <w:r w:rsidRPr="00F7036D">
              <w:rPr>
                <w:b/>
                <w:bCs/>
                <w:lang/>
              </w:rPr>
              <w:t xml:space="preserve">NOTED </w:t>
            </w:r>
            <w:r w:rsidRPr="00F7036D">
              <w:rPr>
                <w:lang/>
              </w:rPr>
              <w:t xml:space="preserve">how para.8 of Res. 19/07 establishes that the information on catches from chartered vessels be submitted to the IOTC by 28 February each year, and that this contrasts with the default data reporting deadline of 30 June. </w:t>
            </w:r>
          </w:p>
          <w:p w14:paraId="4ADE8093" w14:textId="77777777" w:rsidR="006E373A" w:rsidRDefault="006E373A" w:rsidP="00A246BD">
            <w:pPr>
              <w:pStyle w:val="Default"/>
            </w:pPr>
          </w:p>
          <w:p w14:paraId="54F75D58" w14:textId="77777777" w:rsidR="006E373A" w:rsidRPr="006E373A" w:rsidRDefault="006E373A" w:rsidP="00A246BD">
            <w:pPr>
              <w:pStyle w:val="Default"/>
            </w:pPr>
          </w:p>
          <w:p w14:paraId="30C4DFEC" w14:textId="77777777" w:rsidR="006E373A" w:rsidRPr="00F7036D" w:rsidRDefault="006E373A" w:rsidP="00A246BD">
            <w:pPr>
              <w:pStyle w:val="Default"/>
              <w:rPr>
                <w:lang/>
              </w:rPr>
            </w:pPr>
          </w:p>
        </w:tc>
      </w:tr>
      <w:tr w:rsidR="006E373A" w:rsidRPr="00783159" w14:paraId="770E297D" w14:textId="77777777" w:rsidTr="00A246BD">
        <w:tc>
          <w:tcPr>
            <w:tcW w:w="1843" w:type="dxa"/>
            <w:shd w:val="clear" w:color="auto" w:fill="E2EFD9" w:themeFill="accent6" w:themeFillTint="33"/>
          </w:tcPr>
          <w:p w14:paraId="25944745" w14:textId="77777777" w:rsidR="006E373A" w:rsidRDefault="006E373A" w:rsidP="00A246BD">
            <w:pPr>
              <w:jc w:val="center"/>
              <w:rPr>
                <w:rFonts w:eastAsia="Calibri"/>
                <w:b/>
                <w:bCs/>
                <w:lang w:val="en-AU" w:eastAsia="fr-FR"/>
              </w:rPr>
            </w:pPr>
          </w:p>
        </w:tc>
        <w:tc>
          <w:tcPr>
            <w:tcW w:w="709" w:type="dxa"/>
            <w:shd w:val="clear" w:color="auto" w:fill="E2EFD9" w:themeFill="accent6" w:themeFillTint="33"/>
          </w:tcPr>
          <w:p w14:paraId="447EE521" w14:textId="77777777" w:rsidR="006E373A" w:rsidRDefault="006E373A" w:rsidP="00A246BD">
            <w:pPr>
              <w:jc w:val="center"/>
              <w:rPr>
                <w:b/>
                <w:iCs/>
                <w:snapToGrid w:val="0"/>
                <w:kern w:val="1"/>
              </w:rPr>
            </w:pPr>
            <w:r>
              <w:rPr>
                <w:b/>
                <w:iCs/>
                <w:snapToGrid w:val="0"/>
                <w:kern w:val="1"/>
              </w:rPr>
              <w:t>75</w:t>
            </w:r>
          </w:p>
        </w:tc>
        <w:tc>
          <w:tcPr>
            <w:tcW w:w="12658" w:type="dxa"/>
            <w:shd w:val="clear" w:color="auto" w:fill="E2EFD9" w:themeFill="accent6" w:themeFillTint="33"/>
          </w:tcPr>
          <w:p w14:paraId="5328EC44" w14:textId="77777777" w:rsidR="006E373A" w:rsidRPr="00F7036D" w:rsidRDefault="006E373A" w:rsidP="00A246BD">
            <w:pPr>
              <w:pStyle w:val="Default"/>
              <w:rPr>
                <w:lang/>
              </w:rPr>
            </w:pPr>
            <w:r w:rsidRPr="00F7036D">
              <w:rPr>
                <w:lang/>
              </w:rPr>
              <w:t xml:space="preserve">For these reasons, the WPDCS </w:t>
            </w:r>
            <w:r w:rsidRPr="00F7036D">
              <w:rPr>
                <w:b/>
                <w:bCs/>
                <w:lang/>
              </w:rPr>
              <w:t xml:space="preserve">REQUESTED </w:t>
            </w:r>
            <w:r w:rsidRPr="00F7036D">
              <w:rPr>
                <w:lang/>
              </w:rPr>
              <w:t xml:space="preserve">that the SC clarifies the aspects of Res. 19/07 that deal with the submission of catch statistics to the IOTC, to effectively manage these submissions and assess the compliance level of chartering and flag CPCs in the future. </w:t>
            </w:r>
          </w:p>
          <w:p w14:paraId="63FCDF44" w14:textId="77777777" w:rsidR="006E373A" w:rsidRPr="00F7036D" w:rsidRDefault="006E373A" w:rsidP="00A246BD">
            <w:pPr>
              <w:pStyle w:val="Default"/>
              <w:rPr>
                <w:lang/>
              </w:rPr>
            </w:pPr>
          </w:p>
        </w:tc>
      </w:tr>
      <w:tr w:rsidR="00A67C4A" w:rsidRPr="00783159" w14:paraId="1D98A661" w14:textId="77777777" w:rsidTr="00A246BD">
        <w:tc>
          <w:tcPr>
            <w:tcW w:w="1843" w:type="dxa"/>
            <w:shd w:val="clear" w:color="auto" w:fill="E2EFD9" w:themeFill="accent6" w:themeFillTint="33"/>
          </w:tcPr>
          <w:p w14:paraId="08007C67" w14:textId="77777777" w:rsidR="00A67C4A" w:rsidRDefault="00A67C4A" w:rsidP="00A246BD">
            <w:pPr>
              <w:jc w:val="center"/>
              <w:rPr>
                <w:rFonts w:eastAsia="Calibri"/>
                <w:b/>
                <w:bCs/>
                <w:lang w:val="en-AU" w:eastAsia="fr-FR"/>
              </w:rPr>
            </w:pPr>
          </w:p>
        </w:tc>
        <w:tc>
          <w:tcPr>
            <w:tcW w:w="709" w:type="dxa"/>
            <w:shd w:val="clear" w:color="auto" w:fill="E2EFD9" w:themeFill="accent6" w:themeFillTint="33"/>
          </w:tcPr>
          <w:p w14:paraId="15B12BAD" w14:textId="690D2AC7" w:rsidR="00A67C4A" w:rsidRDefault="00A67C4A" w:rsidP="00A246BD">
            <w:pPr>
              <w:jc w:val="center"/>
              <w:rPr>
                <w:b/>
                <w:iCs/>
                <w:snapToGrid w:val="0"/>
                <w:kern w:val="1"/>
              </w:rPr>
            </w:pPr>
            <w:r>
              <w:rPr>
                <w:b/>
                <w:iCs/>
                <w:snapToGrid w:val="0"/>
                <w:kern w:val="1"/>
              </w:rPr>
              <w:t>94</w:t>
            </w:r>
          </w:p>
        </w:tc>
        <w:tc>
          <w:tcPr>
            <w:tcW w:w="12658" w:type="dxa"/>
            <w:shd w:val="clear" w:color="auto" w:fill="E2EFD9" w:themeFill="accent6" w:themeFillTint="33"/>
          </w:tcPr>
          <w:p w14:paraId="26C9649F" w14:textId="45F7C68A" w:rsidR="00A67C4A" w:rsidRPr="00A67C4A" w:rsidRDefault="00A67C4A" w:rsidP="00A67C4A">
            <w:pPr>
              <w:pStyle w:val="Default"/>
              <w:rPr>
                <w:lang/>
              </w:rPr>
            </w:pPr>
            <w:r w:rsidRPr="00A67C4A">
              <w:rPr>
                <w:lang/>
              </w:rPr>
              <w:t xml:space="preserve">The WPDCS </w:t>
            </w:r>
            <w:r w:rsidRPr="00A67C4A">
              <w:rPr>
                <w:b/>
                <w:bCs/>
                <w:lang/>
              </w:rPr>
              <w:t>REQUESTED</w:t>
            </w:r>
            <w:r w:rsidRPr="00A67C4A">
              <w:rPr>
                <w:lang/>
              </w:rPr>
              <w:t xml:space="preserve"> all CPCs with fisheries on AFADs to confirm if they can collect (and report) all required data elements, as well as to confirm that the proposed AFAD type and AFAD activity type classifications are fit for the purpose.</w:t>
            </w:r>
          </w:p>
          <w:p w14:paraId="48E53E6D" w14:textId="753896EC" w:rsidR="00A67C4A" w:rsidRPr="00F7036D" w:rsidRDefault="00A67C4A" w:rsidP="00A67C4A">
            <w:pPr>
              <w:pStyle w:val="Default"/>
              <w:rPr>
                <w:lang/>
              </w:rPr>
            </w:pPr>
          </w:p>
        </w:tc>
      </w:tr>
      <w:tr w:rsidR="00A67C4A" w:rsidRPr="00783159" w14:paraId="77776BE9" w14:textId="77777777" w:rsidTr="00A246BD">
        <w:tc>
          <w:tcPr>
            <w:tcW w:w="1843" w:type="dxa"/>
            <w:shd w:val="clear" w:color="auto" w:fill="E2EFD9" w:themeFill="accent6" w:themeFillTint="33"/>
          </w:tcPr>
          <w:p w14:paraId="5B51EFAA" w14:textId="77777777" w:rsidR="00A67C4A" w:rsidRDefault="00A67C4A" w:rsidP="00A246BD">
            <w:pPr>
              <w:jc w:val="center"/>
              <w:rPr>
                <w:rFonts w:eastAsia="Calibri"/>
                <w:b/>
                <w:bCs/>
                <w:lang w:val="en-AU" w:eastAsia="fr-FR"/>
              </w:rPr>
            </w:pPr>
          </w:p>
        </w:tc>
        <w:tc>
          <w:tcPr>
            <w:tcW w:w="709" w:type="dxa"/>
            <w:shd w:val="clear" w:color="auto" w:fill="E2EFD9" w:themeFill="accent6" w:themeFillTint="33"/>
          </w:tcPr>
          <w:p w14:paraId="71642C24" w14:textId="011065D6" w:rsidR="00A67C4A" w:rsidRDefault="00A67C4A" w:rsidP="00A246BD">
            <w:pPr>
              <w:jc w:val="center"/>
              <w:rPr>
                <w:b/>
                <w:iCs/>
                <w:snapToGrid w:val="0"/>
                <w:kern w:val="1"/>
              </w:rPr>
            </w:pPr>
            <w:r>
              <w:rPr>
                <w:b/>
                <w:iCs/>
                <w:snapToGrid w:val="0"/>
                <w:kern w:val="1"/>
              </w:rPr>
              <w:t>95</w:t>
            </w:r>
          </w:p>
        </w:tc>
        <w:tc>
          <w:tcPr>
            <w:tcW w:w="12658" w:type="dxa"/>
            <w:shd w:val="clear" w:color="auto" w:fill="E2EFD9" w:themeFill="accent6" w:themeFillTint="33"/>
          </w:tcPr>
          <w:p w14:paraId="2AFE43AF" w14:textId="5B65C081" w:rsidR="00A67C4A" w:rsidRPr="00F7036D" w:rsidRDefault="00A67C4A" w:rsidP="00A246BD">
            <w:pPr>
              <w:pStyle w:val="Default"/>
              <w:rPr>
                <w:lang/>
              </w:rPr>
            </w:pPr>
            <w:r w:rsidRPr="00A67C4A">
              <w:rPr>
                <w:b/>
                <w:bCs/>
                <w:lang/>
              </w:rPr>
              <w:t>ACKNOWLEDGING</w:t>
            </w:r>
            <w:r w:rsidRPr="00A67C4A">
              <w:rPr>
                <w:lang/>
              </w:rPr>
              <w:t xml:space="preserve"> that not all CPCs can fulfil these requirements, as their vessels on AFADs are often of artisanal nature and lack proper onboard data collection mechanisms, the WPDCS ENDORSED anyway the proposed Form 3-AA for the reporting of detailed interaction with AFADs and </w:t>
            </w:r>
            <w:r w:rsidRPr="00A67C4A">
              <w:rPr>
                <w:b/>
                <w:bCs/>
                <w:lang/>
              </w:rPr>
              <w:t>REQUESTED</w:t>
            </w:r>
            <w:r w:rsidRPr="00A67C4A">
              <w:rPr>
                <w:lang/>
              </w:rPr>
              <w:t xml:space="preserve"> that those CPCs that can, also report to the Secretariat historical data for their AFAD fisheries through both Form 3-CE and 3-AA.</w:t>
            </w:r>
          </w:p>
        </w:tc>
      </w:tr>
      <w:tr w:rsidR="00A67C4A" w:rsidRPr="00783159" w14:paraId="565D28DA" w14:textId="77777777" w:rsidTr="00A246BD">
        <w:tc>
          <w:tcPr>
            <w:tcW w:w="1843" w:type="dxa"/>
            <w:shd w:val="clear" w:color="auto" w:fill="E2EFD9" w:themeFill="accent6" w:themeFillTint="33"/>
          </w:tcPr>
          <w:p w14:paraId="0C70158E" w14:textId="77777777" w:rsidR="00A67C4A" w:rsidRDefault="00A67C4A" w:rsidP="00A246BD">
            <w:pPr>
              <w:jc w:val="center"/>
              <w:rPr>
                <w:rFonts w:eastAsia="Calibri"/>
                <w:b/>
                <w:bCs/>
                <w:lang w:val="en-AU" w:eastAsia="fr-FR"/>
              </w:rPr>
            </w:pPr>
          </w:p>
        </w:tc>
        <w:tc>
          <w:tcPr>
            <w:tcW w:w="709" w:type="dxa"/>
            <w:shd w:val="clear" w:color="auto" w:fill="E2EFD9" w:themeFill="accent6" w:themeFillTint="33"/>
          </w:tcPr>
          <w:p w14:paraId="42F7B264" w14:textId="588210D2" w:rsidR="00A67C4A" w:rsidRDefault="00A67C4A" w:rsidP="00A246BD">
            <w:pPr>
              <w:jc w:val="center"/>
              <w:rPr>
                <w:b/>
                <w:iCs/>
                <w:snapToGrid w:val="0"/>
                <w:kern w:val="1"/>
              </w:rPr>
            </w:pPr>
            <w:r>
              <w:rPr>
                <w:b/>
                <w:iCs/>
                <w:snapToGrid w:val="0"/>
                <w:kern w:val="1"/>
              </w:rPr>
              <w:t>100</w:t>
            </w:r>
          </w:p>
        </w:tc>
        <w:tc>
          <w:tcPr>
            <w:tcW w:w="12658" w:type="dxa"/>
            <w:shd w:val="clear" w:color="auto" w:fill="E2EFD9" w:themeFill="accent6" w:themeFillTint="33"/>
          </w:tcPr>
          <w:p w14:paraId="33837CF2" w14:textId="145216CC" w:rsidR="00A67C4A" w:rsidRPr="00A67C4A" w:rsidRDefault="00A67C4A" w:rsidP="00A246BD">
            <w:pPr>
              <w:pStyle w:val="Default"/>
              <w:rPr>
                <w:lang/>
              </w:rPr>
            </w:pPr>
            <w:r w:rsidRPr="00A67C4A">
              <w:rPr>
                <w:lang/>
              </w:rPr>
              <w:t xml:space="preserve">Nevertheless, the WPDCS </w:t>
            </w:r>
            <w:r w:rsidRPr="00A67C4A">
              <w:rPr>
                <w:b/>
                <w:bCs/>
                <w:lang/>
              </w:rPr>
              <w:t>NOTED</w:t>
            </w:r>
            <w:r w:rsidRPr="00A67C4A">
              <w:rPr>
                <w:lang/>
              </w:rPr>
              <w:t xml:space="preserve"> that about 25% of the total catch of the Thai small-purse seine fishery may come from AFADs when the rest is taken on free-swimming schools and </w:t>
            </w:r>
            <w:r w:rsidRPr="00A67C4A">
              <w:rPr>
                <w:b/>
                <w:bCs/>
                <w:lang/>
              </w:rPr>
              <w:t>REQUESTED</w:t>
            </w:r>
            <w:r w:rsidRPr="00A67C4A">
              <w:rPr>
                <w:lang/>
              </w:rPr>
              <w:t xml:space="preserve"> Thailand to consider those as two distinct fisheries in future submissions of catch and effort to the Secretariat, splitting the historical data accordingly where possible.</w:t>
            </w:r>
          </w:p>
        </w:tc>
      </w:tr>
      <w:tr w:rsidR="00A67C4A" w:rsidRPr="00783159" w14:paraId="690470BC" w14:textId="77777777" w:rsidTr="00A246BD">
        <w:tc>
          <w:tcPr>
            <w:tcW w:w="1843" w:type="dxa"/>
            <w:shd w:val="clear" w:color="auto" w:fill="E2EFD9" w:themeFill="accent6" w:themeFillTint="33"/>
          </w:tcPr>
          <w:p w14:paraId="7322D667" w14:textId="77777777" w:rsidR="00A67C4A" w:rsidRDefault="00A67C4A" w:rsidP="00A246BD">
            <w:pPr>
              <w:jc w:val="center"/>
              <w:rPr>
                <w:rFonts w:eastAsia="Calibri"/>
                <w:b/>
                <w:bCs/>
                <w:lang w:val="en-AU" w:eastAsia="fr-FR"/>
              </w:rPr>
            </w:pPr>
          </w:p>
        </w:tc>
        <w:tc>
          <w:tcPr>
            <w:tcW w:w="709" w:type="dxa"/>
            <w:shd w:val="clear" w:color="auto" w:fill="E2EFD9" w:themeFill="accent6" w:themeFillTint="33"/>
          </w:tcPr>
          <w:p w14:paraId="1A8825FB" w14:textId="371A4358" w:rsidR="00A67C4A" w:rsidRDefault="00A67C4A" w:rsidP="00A246BD">
            <w:pPr>
              <w:jc w:val="center"/>
              <w:rPr>
                <w:b/>
                <w:iCs/>
                <w:snapToGrid w:val="0"/>
                <w:kern w:val="1"/>
              </w:rPr>
            </w:pPr>
            <w:r>
              <w:rPr>
                <w:b/>
                <w:iCs/>
                <w:snapToGrid w:val="0"/>
                <w:kern w:val="1"/>
              </w:rPr>
              <w:t>129</w:t>
            </w:r>
          </w:p>
        </w:tc>
        <w:tc>
          <w:tcPr>
            <w:tcW w:w="12658" w:type="dxa"/>
            <w:shd w:val="clear" w:color="auto" w:fill="E2EFD9" w:themeFill="accent6" w:themeFillTint="33"/>
          </w:tcPr>
          <w:p w14:paraId="7425CBB2" w14:textId="324E19A2" w:rsidR="00A67C4A" w:rsidRPr="00A67C4A" w:rsidRDefault="00A67C4A" w:rsidP="00A246BD">
            <w:pPr>
              <w:pStyle w:val="Default"/>
              <w:rPr>
                <w:highlight w:val="yellow"/>
                <w:lang/>
              </w:rPr>
            </w:pPr>
            <w:r w:rsidRPr="00A67C4A">
              <w:rPr>
                <w:highlight w:val="yellow"/>
                <w:lang/>
              </w:rPr>
              <w:t xml:space="preserve">The WPDCS </w:t>
            </w:r>
            <w:r w:rsidRPr="00A67C4A">
              <w:rPr>
                <w:b/>
                <w:bCs/>
                <w:highlight w:val="yellow"/>
                <w:lang/>
              </w:rPr>
              <w:t>NOTED</w:t>
            </w:r>
            <w:r w:rsidRPr="00A67C4A">
              <w:rPr>
                <w:highlight w:val="yellow"/>
                <w:lang/>
              </w:rPr>
              <w:t xml:space="preserve"> the </w:t>
            </w:r>
            <w:r w:rsidRPr="00A67C4A">
              <w:rPr>
                <w:b/>
                <w:bCs/>
                <w:i/>
                <w:iCs/>
                <w:highlight w:val="yellow"/>
                <w:lang/>
              </w:rPr>
              <w:t>request</w:t>
            </w:r>
            <w:r w:rsidRPr="00A67C4A">
              <w:rPr>
                <w:highlight w:val="yellow"/>
                <w:lang/>
              </w:rPr>
              <w:t xml:space="preserve"> for CPCs and the Secretariat to implement a FAIR data management plan (DMP) and strategies by assigning DOIs to public domain and open data for both past and future resources, </w:t>
            </w:r>
            <w:r w:rsidRPr="00A67C4A">
              <w:rPr>
                <w:b/>
                <w:bCs/>
                <w:highlight w:val="yellow"/>
                <w:lang/>
              </w:rPr>
              <w:t>ACKNOWLEDGING</w:t>
            </w:r>
            <w:r w:rsidRPr="00A67C4A">
              <w:rPr>
                <w:highlight w:val="yellow"/>
                <w:lang/>
              </w:rPr>
              <w:t xml:space="preserve"> that it might be necessary to seek approval from the SC for the implementation of a DMP.</w:t>
            </w:r>
          </w:p>
        </w:tc>
      </w:tr>
      <w:tr w:rsidR="00A67C4A" w:rsidRPr="00783159" w14:paraId="7D222DE6" w14:textId="77777777" w:rsidTr="00A246BD">
        <w:tc>
          <w:tcPr>
            <w:tcW w:w="1843" w:type="dxa"/>
            <w:shd w:val="clear" w:color="auto" w:fill="E2EFD9" w:themeFill="accent6" w:themeFillTint="33"/>
          </w:tcPr>
          <w:p w14:paraId="3572524C" w14:textId="77777777" w:rsidR="00A67C4A" w:rsidRDefault="00A67C4A" w:rsidP="00A246BD">
            <w:pPr>
              <w:jc w:val="center"/>
              <w:rPr>
                <w:rFonts w:eastAsia="Calibri"/>
                <w:b/>
                <w:bCs/>
                <w:lang w:val="en-AU" w:eastAsia="fr-FR"/>
              </w:rPr>
            </w:pPr>
          </w:p>
        </w:tc>
        <w:tc>
          <w:tcPr>
            <w:tcW w:w="709" w:type="dxa"/>
            <w:shd w:val="clear" w:color="auto" w:fill="E2EFD9" w:themeFill="accent6" w:themeFillTint="33"/>
          </w:tcPr>
          <w:p w14:paraId="7DCBEFB1" w14:textId="6C9C83AA" w:rsidR="00A67C4A" w:rsidRDefault="00A67C4A" w:rsidP="00A246BD">
            <w:pPr>
              <w:jc w:val="center"/>
              <w:rPr>
                <w:b/>
                <w:iCs/>
                <w:snapToGrid w:val="0"/>
                <w:kern w:val="1"/>
              </w:rPr>
            </w:pPr>
            <w:r>
              <w:rPr>
                <w:b/>
                <w:iCs/>
                <w:snapToGrid w:val="0"/>
                <w:kern w:val="1"/>
              </w:rPr>
              <w:t>166</w:t>
            </w:r>
          </w:p>
        </w:tc>
        <w:tc>
          <w:tcPr>
            <w:tcW w:w="12658" w:type="dxa"/>
            <w:shd w:val="clear" w:color="auto" w:fill="E2EFD9" w:themeFill="accent6" w:themeFillTint="33"/>
          </w:tcPr>
          <w:p w14:paraId="13B76173" w14:textId="27210A7C" w:rsidR="00A67C4A" w:rsidRPr="00A67C4A" w:rsidRDefault="00A67C4A" w:rsidP="00A246BD">
            <w:pPr>
              <w:pStyle w:val="Default"/>
              <w:rPr>
                <w:highlight w:val="yellow"/>
                <w:lang/>
              </w:rPr>
            </w:pPr>
            <w:r w:rsidRPr="00A67C4A">
              <w:rPr>
                <w:lang/>
              </w:rPr>
              <w:t xml:space="preserve">For the recent map (i.e., 2022), the WPDCS </w:t>
            </w:r>
            <w:r w:rsidRPr="00A67C4A">
              <w:rPr>
                <w:b/>
                <w:bCs/>
                <w:lang/>
              </w:rPr>
              <w:t>REQUESTED</w:t>
            </w:r>
            <w:r w:rsidRPr="00A67C4A">
              <w:rPr>
                <w:lang/>
              </w:rPr>
              <w:t xml:space="preserve"> the Secretariat to liaise with Sri Lanka to cross-check the consistency of the fishing grounds with the catch and effort data reported by Sri Lanka for that year.</w:t>
            </w:r>
          </w:p>
        </w:tc>
      </w:tr>
      <w:tr w:rsidR="00A67C4A" w:rsidRPr="00783159" w14:paraId="69F65F39" w14:textId="77777777" w:rsidTr="00A246BD">
        <w:tc>
          <w:tcPr>
            <w:tcW w:w="1843" w:type="dxa"/>
            <w:shd w:val="clear" w:color="auto" w:fill="E2EFD9" w:themeFill="accent6" w:themeFillTint="33"/>
          </w:tcPr>
          <w:p w14:paraId="6B4B43A6" w14:textId="77777777" w:rsidR="00A67C4A" w:rsidRDefault="00A67C4A" w:rsidP="00A246BD">
            <w:pPr>
              <w:jc w:val="center"/>
              <w:rPr>
                <w:rFonts w:eastAsia="Calibri"/>
                <w:b/>
                <w:bCs/>
                <w:lang w:val="en-AU" w:eastAsia="fr-FR"/>
              </w:rPr>
            </w:pPr>
          </w:p>
        </w:tc>
        <w:tc>
          <w:tcPr>
            <w:tcW w:w="709" w:type="dxa"/>
            <w:shd w:val="clear" w:color="auto" w:fill="E2EFD9" w:themeFill="accent6" w:themeFillTint="33"/>
          </w:tcPr>
          <w:p w14:paraId="416F28BF" w14:textId="71724A4A" w:rsidR="00A67C4A" w:rsidRDefault="00A67C4A" w:rsidP="00A246BD">
            <w:pPr>
              <w:jc w:val="center"/>
              <w:rPr>
                <w:b/>
                <w:iCs/>
                <w:snapToGrid w:val="0"/>
                <w:kern w:val="1"/>
              </w:rPr>
            </w:pPr>
            <w:r>
              <w:rPr>
                <w:b/>
                <w:iCs/>
                <w:snapToGrid w:val="0"/>
                <w:kern w:val="1"/>
              </w:rPr>
              <w:t>188</w:t>
            </w:r>
          </w:p>
        </w:tc>
        <w:tc>
          <w:tcPr>
            <w:tcW w:w="12658" w:type="dxa"/>
            <w:shd w:val="clear" w:color="auto" w:fill="E2EFD9" w:themeFill="accent6" w:themeFillTint="33"/>
          </w:tcPr>
          <w:p w14:paraId="607B0186" w14:textId="4898EF92" w:rsidR="00A67C4A" w:rsidRPr="00A67C4A" w:rsidRDefault="00A67C4A" w:rsidP="00A246BD">
            <w:pPr>
              <w:pStyle w:val="Default"/>
              <w:rPr>
                <w:lang/>
              </w:rPr>
            </w:pPr>
            <w:r w:rsidRPr="00A67C4A">
              <w:rPr>
                <w:b/>
                <w:bCs/>
                <w:lang/>
              </w:rPr>
              <w:t>NOTING</w:t>
            </w:r>
            <w:r w:rsidRPr="00A67C4A">
              <w:rPr>
                <w:lang/>
              </w:rPr>
              <w:t xml:space="preserve"> that the increase in Oman’s official catches – particularly since 2017 – are partly an artifact of improvements in the data collection and monitoring of landings, rather than entirely due to an actual increase in production, the WPDCS </w:t>
            </w:r>
            <w:r w:rsidRPr="00A67C4A">
              <w:rPr>
                <w:b/>
                <w:bCs/>
                <w:lang/>
              </w:rPr>
              <w:t>REQUESTED</w:t>
            </w:r>
            <w:r w:rsidRPr="00A67C4A">
              <w:rPr>
                <w:lang/>
              </w:rPr>
              <w:t xml:space="preserve"> that Oman consider revising the historical catches not only for yellowfin tuna, but also for all other key tuna and non-tuna species (e.g., longtail tuna, Indian oil sardines, jacks and trevallies, etc.) which account for a significant proportion of total catches, further </w:t>
            </w:r>
            <w:r w:rsidRPr="00A67C4A">
              <w:rPr>
                <w:b/>
                <w:bCs/>
                <w:lang/>
              </w:rPr>
              <w:t>REQUESTING</w:t>
            </w:r>
            <w:r w:rsidRPr="00A67C4A">
              <w:rPr>
                <w:lang/>
              </w:rPr>
              <w:t xml:space="preserve"> that an update be provided at the next WPDCS meeting.</w:t>
            </w:r>
          </w:p>
        </w:tc>
      </w:tr>
      <w:tr w:rsidR="00F002D0" w:rsidRPr="00783159" w14:paraId="4E074C24" w14:textId="77777777" w:rsidTr="005600B4">
        <w:tc>
          <w:tcPr>
            <w:tcW w:w="1843" w:type="dxa"/>
            <w:shd w:val="clear" w:color="auto" w:fill="E2EFD9" w:themeFill="accent6" w:themeFillTint="33"/>
          </w:tcPr>
          <w:p w14:paraId="7FD21092" w14:textId="7BFBB022" w:rsidR="00F002D0" w:rsidRPr="006E373A" w:rsidRDefault="00F002D0" w:rsidP="00F002D0">
            <w:pPr>
              <w:jc w:val="center"/>
              <w:rPr>
                <w:rFonts w:eastAsia="Calibri"/>
                <w:b/>
                <w:bCs/>
                <w:lang w:eastAsia="fr-FR"/>
              </w:rPr>
            </w:pPr>
          </w:p>
        </w:tc>
        <w:tc>
          <w:tcPr>
            <w:tcW w:w="709" w:type="dxa"/>
            <w:shd w:val="clear" w:color="auto" w:fill="E2EFD9" w:themeFill="accent6" w:themeFillTint="33"/>
          </w:tcPr>
          <w:p w14:paraId="38D2AEB2" w14:textId="003A388D" w:rsidR="00F002D0" w:rsidRDefault="005A3813" w:rsidP="00F002D0">
            <w:pPr>
              <w:jc w:val="center"/>
              <w:rPr>
                <w:b/>
                <w:iCs/>
                <w:snapToGrid w:val="0"/>
                <w:kern w:val="1"/>
              </w:rPr>
            </w:pPr>
            <w:r>
              <w:rPr>
                <w:b/>
                <w:iCs/>
                <w:snapToGrid w:val="0"/>
                <w:kern w:val="1"/>
              </w:rPr>
              <w:t>111</w:t>
            </w:r>
          </w:p>
        </w:tc>
        <w:tc>
          <w:tcPr>
            <w:tcW w:w="12658" w:type="dxa"/>
            <w:shd w:val="clear" w:color="auto" w:fill="E2EFD9" w:themeFill="accent6" w:themeFillTint="33"/>
          </w:tcPr>
          <w:p w14:paraId="34BD87B5" w14:textId="77777777" w:rsidR="005A3813" w:rsidRPr="005A3813" w:rsidRDefault="005A3813" w:rsidP="005A3813">
            <w:pPr>
              <w:pStyle w:val="Default"/>
              <w:rPr>
                <w:lang/>
              </w:rPr>
            </w:pPr>
            <w:r w:rsidRPr="005A3813">
              <w:rPr>
                <w:lang/>
              </w:rPr>
              <w:t xml:space="preserve">The WPDCS </w:t>
            </w:r>
            <w:r w:rsidRPr="005A3813">
              <w:rPr>
                <w:b/>
                <w:bCs/>
                <w:lang/>
              </w:rPr>
              <w:t xml:space="preserve">RECALLED </w:t>
            </w:r>
            <w:r w:rsidRPr="005A3813">
              <w:rPr>
                <w:lang/>
              </w:rPr>
              <w:t xml:space="preserve">the paucity of size-frequency data available at the Secretariat, for most coastal fisheries, and for billfish and neritic species in particular, and </w:t>
            </w:r>
            <w:r w:rsidRPr="005A3813">
              <w:rPr>
                <w:b/>
                <w:bCs/>
                <w:lang/>
              </w:rPr>
              <w:t xml:space="preserve">URGED </w:t>
            </w:r>
            <w:r w:rsidRPr="005A3813">
              <w:rPr>
                <w:lang/>
              </w:rPr>
              <w:t xml:space="preserve">all concerned CPCs to develop and implement sampling and reporting systems to acquire more information on the size composition of the catch of their coastal fisheries. </w:t>
            </w:r>
          </w:p>
          <w:p w14:paraId="0584ADAC" w14:textId="11E055EC" w:rsidR="00F002D0" w:rsidRPr="005A3813" w:rsidRDefault="00F002D0" w:rsidP="00F002D0">
            <w:pPr>
              <w:pStyle w:val="Default"/>
              <w:rPr>
                <w:sz w:val="22"/>
                <w:szCs w:val="22"/>
                <w:lang/>
              </w:rPr>
            </w:pPr>
          </w:p>
        </w:tc>
      </w:tr>
      <w:tr w:rsidR="00425D35" w:rsidRPr="00783159" w14:paraId="5F10B4FA" w14:textId="77777777" w:rsidTr="005600B4">
        <w:tc>
          <w:tcPr>
            <w:tcW w:w="1843" w:type="dxa"/>
            <w:shd w:val="clear" w:color="auto" w:fill="E2EFD9" w:themeFill="accent6" w:themeFillTint="33"/>
          </w:tcPr>
          <w:p w14:paraId="023E1A56" w14:textId="77777777" w:rsidR="00425D35" w:rsidRPr="006E373A" w:rsidRDefault="00425D35" w:rsidP="00F002D0">
            <w:pPr>
              <w:jc w:val="center"/>
              <w:rPr>
                <w:rFonts w:eastAsia="Calibri"/>
                <w:b/>
                <w:bCs/>
                <w:lang w:eastAsia="fr-FR"/>
              </w:rPr>
            </w:pPr>
          </w:p>
        </w:tc>
        <w:tc>
          <w:tcPr>
            <w:tcW w:w="709" w:type="dxa"/>
            <w:shd w:val="clear" w:color="auto" w:fill="E2EFD9" w:themeFill="accent6" w:themeFillTint="33"/>
          </w:tcPr>
          <w:p w14:paraId="2384F936" w14:textId="2BD310A8" w:rsidR="00425D35" w:rsidRDefault="00425D35" w:rsidP="00F002D0">
            <w:pPr>
              <w:jc w:val="center"/>
              <w:rPr>
                <w:b/>
                <w:iCs/>
                <w:snapToGrid w:val="0"/>
                <w:kern w:val="1"/>
              </w:rPr>
            </w:pPr>
            <w:r>
              <w:rPr>
                <w:b/>
                <w:iCs/>
                <w:snapToGrid w:val="0"/>
                <w:kern w:val="1"/>
              </w:rPr>
              <w:t>284</w:t>
            </w:r>
          </w:p>
        </w:tc>
        <w:tc>
          <w:tcPr>
            <w:tcW w:w="12658" w:type="dxa"/>
            <w:shd w:val="clear" w:color="auto" w:fill="E2EFD9" w:themeFill="accent6" w:themeFillTint="33"/>
          </w:tcPr>
          <w:p w14:paraId="0DCD551F" w14:textId="74CAAADC" w:rsidR="00425D35" w:rsidRPr="00425D35" w:rsidRDefault="00425D35" w:rsidP="00425D35">
            <w:pPr>
              <w:pStyle w:val="Default"/>
              <w:rPr>
                <w:lang/>
              </w:rPr>
            </w:pPr>
            <w:r w:rsidRPr="00425D35">
              <w:rPr>
                <w:lang/>
              </w:rPr>
              <w:t xml:space="preserve">Considering all the above, the WPDCS </w:t>
            </w:r>
            <w:r w:rsidRPr="00425D35">
              <w:rPr>
                <w:b/>
                <w:bCs/>
                <w:lang/>
              </w:rPr>
              <w:t>RECOMMENDED</w:t>
            </w:r>
            <w:r w:rsidRPr="00425D35">
              <w:rPr>
                <w:lang/>
              </w:rPr>
              <w:t xml:space="preserve"> that an intersessional working group is organised (by correspondence or through online meetings) to convey interested WPDCS and WGEMS participants and review:</w:t>
            </w:r>
          </w:p>
          <w:p w14:paraId="19474B6C" w14:textId="77777777" w:rsidR="00425D35" w:rsidRPr="00425D35" w:rsidRDefault="00425D35" w:rsidP="00425D35">
            <w:pPr>
              <w:pStyle w:val="Default"/>
              <w:rPr>
                <w:lang/>
              </w:rPr>
            </w:pPr>
            <w:r w:rsidRPr="00425D35">
              <w:rPr>
                <w:lang/>
              </w:rPr>
              <w:t>•</w:t>
            </w:r>
            <w:r w:rsidRPr="00425D35">
              <w:rPr>
                <w:lang/>
              </w:rPr>
              <w:tab/>
              <w:t>the scientific need for each ROS data field proposed by the 2018 ROS expert WS report;</w:t>
            </w:r>
          </w:p>
          <w:p w14:paraId="5F253ACF" w14:textId="77777777" w:rsidR="00425D35" w:rsidRPr="00425D35" w:rsidRDefault="00425D35" w:rsidP="00425D35">
            <w:pPr>
              <w:pStyle w:val="Default"/>
              <w:rPr>
                <w:lang/>
              </w:rPr>
            </w:pPr>
            <w:r w:rsidRPr="00425D35">
              <w:rPr>
                <w:lang/>
              </w:rPr>
              <w:t>•</w:t>
            </w:r>
            <w:r w:rsidRPr="00425D35">
              <w:rPr>
                <w:lang/>
              </w:rPr>
              <w:tab/>
              <w:t>ROS data fields collection and reporting status (e.g., mandatory/optional, etc.);</w:t>
            </w:r>
          </w:p>
          <w:p w14:paraId="324E0977" w14:textId="77777777" w:rsidR="00425D35" w:rsidRPr="00425D35" w:rsidRDefault="00425D35" w:rsidP="00425D35">
            <w:pPr>
              <w:pStyle w:val="Default"/>
              <w:rPr>
                <w:lang/>
              </w:rPr>
            </w:pPr>
            <w:r w:rsidRPr="00425D35">
              <w:rPr>
                <w:lang/>
              </w:rPr>
              <w:t>•</w:t>
            </w:r>
            <w:r w:rsidRPr="00425D35">
              <w:rPr>
                <w:lang/>
              </w:rPr>
              <w:tab/>
              <w:t>potential specific EMS fields to be added to ROS mandatory requirements; and</w:t>
            </w:r>
          </w:p>
          <w:p w14:paraId="76CDF424" w14:textId="77777777" w:rsidR="00425D35" w:rsidRPr="00425D35" w:rsidRDefault="00425D35" w:rsidP="00425D35">
            <w:pPr>
              <w:pStyle w:val="Default"/>
              <w:rPr>
                <w:lang/>
              </w:rPr>
            </w:pPr>
            <w:r w:rsidRPr="00425D35">
              <w:rPr>
                <w:lang/>
              </w:rPr>
              <w:t>•</w:t>
            </w:r>
            <w:r w:rsidRPr="00425D35">
              <w:rPr>
                <w:lang/>
              </w:rPr>
              <w:tab/>
              <w:t>summarise the capabilities, and advantages and drawbacks to collect ROS data fields across gears by different alternative methods (e.g., EMS, human onboard observers, self-reporting, port sampling) and a combination of those.</w:t>
            </w:r>
          </w:p>
          <w:p w14:paraId="3F59474A" w14:textId="561C0815" w:rsidR="00425D35" w:rsidRPr="005A3813" w:rsidRDefault="00425D35" w:rsidP="00425D35">
            <w:pPr>
              <w:pStyle w:val="Default"/>
              <w:rPr>
                <w:lang/>
              </w:rPr>
            </w:pPr>
            <w:r w:rsidRPr="00425D35">
              <w:rPr>
                <w:lang/>
              </w:rPr>
              <w:t xml:space="preserve">and further </w:t>
            </w:r>
            <w:r w:rsidRPr="00425D35">
              <w:rPr>
                <w:b/>
                <w:bCs/>
                <w:lang/>
              </w:rPr>
              <w:t>REQUESTED</w:t>
            </w:r>
            <w:r w:rsidRPr="00425D35">
              <w:rPr>
                <w:lang/>
              </w:rPr>
              <w:t xml:space="preserve"> that this group report to the next sessions of the WGEMS and WPDCS.</w:t>
            </w:r>
          </w:p>
        </w:tc>
      </w:tr>
      <w:tr w:rsidR="00F7036D" w:rsidRPr="00783159" w14:paraId="2ABCCE0D" w14:textId="77777777" w:rsidTr="005600B4">
        <w:tc>
          <w:tcPr>
            <w:tcW w:w="1843" w:type="dxa"/>
            <w:shd w:val="clear" w:color="auto" w:fill="E2EFD9" w:themeFill="accent6" w:themeFillTint="33"/>
          </w:tcPr>
          <w:p w14:paraId="3566CE03" w14:textId="61C644BB" w:rsidR="00F7036D" w:rsidRDefault="00F7036D" w:rsidP="00F7036D">
            <w:pPr>
              <w:jc w:val="center"/>
              <w:rPr>
                <w:rFonts w:eastAsia="Calibri"/>
                <w:b/>
                <w:bCs/>
                <w:lang w:val="en-AU" w:eastAsia="fr-FR"/>
              </w:rPr>
            </w:pPr>
            <w:r>
              <w:rPr>
                <w:rFonts w:eastAsia="Calibri"/>
                <w:b/>
                <w:bCs/>
                <w:lang w:val="en-AU" w:eastAsia="fr-FR"/>
              </w:rPr>
              <w:t>SC26</w:t>
            </w:r>
          </w:p>
          <w:p w14:paraId="1CB8E79C" w14:textId="4AED4F32" w:rsidR="00F7036D" w:rsidRDefault="00F7036D" w:rsidP="00F7036D">
            <w:pPr>
              <w:jc w:val="center"/>
              <w:rPr>
                <w:rFonts w:eastAsia="Calibri"/>
                <w:b/>
                <w:bCs/>
                <w:lang w:val="en-AU" w:eastAsia="fr-FR"/>
              </w:rPr>
            </w:pPr>
            <w:r>
              <w:rPr>
                <w:rFonts w:eastAsia="Calibri"/>
                <w:b/>
                <w:bCs/>
                <w:lang w:val="en-AU" w:eastAsia="fr-FR"/>
              </w:rPr>
              <w:t>(December 2023)</w:t>
            </w:r>
          </w:p>
        </w:tc>
        <w:tc>
          <w:tcPr>
            <w:tcW w:w="709" w:type="dxa"/>
            <w:shd w:val="clear" w:color="auto" w:fill="E2EFD9" w:themeFill="accent6" w:themeFillTint="33"/>
          </w:tcPr>
          <w:p w14:paraId="7C99FC39" w14:textId="6F8CC17B" w:rsidR="00F7036D" w:rsidRDefault="00F7036D" w:rsidP="00F002D0">
            <w:pPr>
              <w:jc w:val="center"/>
              <w:rPr>
                <w:b/>
                <w:iCs/>
                <w:snapToGrid w:val="0"/>
                <w:kern w:val="1"/>
              </w:rPr>
            </w:pPr>
            <w:r>
              <w:rPr>
                <w:b/>
                <w:iCs/>
                <w:snapToGrid w:val="0"/>
                <w:kern w:val="1"/>
              </w:rPr>
              <w:t>30</w:t>
            </w:r>
          </w:p>
        </w:tc>
        <w:tc>
          <w:tcPr>
            <w:tcW w:w="12658" w:type="dxa"/>
            <w:shd w:val="clear" w:color="auto" w:fill="E2EFD9" w:themeFill="accent6" w:themeFillTint="33"/>
          </w:tcPr>
          <w:p w14:paraId="3A6E0B85" w14:textId="082199A8" w:rsidR="00F7036D" w:rsidRPr="00F7036D" w:rsidRDefault="00F7036D" w:rsidP="00F7036D">
            <w:pPr>
              <w:pStyle w:val="Default"/>
              <w:rPr>
                <w:lang/>
              </w:rPr>
            </w:pPr>
            <w:r w:rsidRPr="00F7036D">
              <w:rPr>
                <w:lang/>
              </w:rPr>
              <w:t xml:space="preserve">The SC </w:t>
            </w:r>
            <w:r w:rsidRPr="00F7036D">
              <w:rPr>
                <w:b/>
                <w:bCs/>
                <w:lang/>
              </w:rPr>
              <w:t>ACKNOWLEDGED</w:t>
            </w:r>
            <w:r w:rsidRPr="00F7036D">
              <w:rPr>
                <w:lang/>
              </w:rPr>
              <w:t xml:space="preserve"> the sudden and steady increase in catches of yellowfin tuna reported for the handline fishery of Oman since 2014, despite constant effort trends and </w:t>
            </w:r>
            <w:r w:rsidRPr="00F7036D">
              <w:rPr>
                <w:b/>
                <w:bCs/>
                <w:lang/>
              </w:rPr>
              <w:t>REQUESTED</w:t>
            </w:r>
            <w:r w:rsidRPr="00F7036D">
              <w:rPr>
                <w:lang/>
              </w:rPr>
              <w:t xml:space="preserve"> further explanations on the matter. The SC QUERIED whether issues with species identification between longtail tuna and yellowfin tuna could be one of the driving factors.</w:t>
            </w:r>
          </w:p>
        </w:tc>
      </w:tr>
      <w:tr w:rsidR="00F7036D" w:rsidRPr="00783159" w14:paraId="40694AD1" w14:textId="77777777" w:rsidTr="005600B4">
        <w:tc>
          <w:tcPr>
            <w:tcW w:w="1843" w:type="dxa"/>
            <w:shd w:val="clear" w:color="auto" w:fill="E2EFD9" w:themeFill="accent6" w:themeFillTint="33"/>
          </w:tcPr>
          <w:p w14:paraId="02612F91" w14:textId="77777777" w:rsidR="00F7036D" w:rsidRDefault="00F7036D" w:rsidP="00F002D0">
            <w:pPr>
              <w:jc w:val="center"/>
              <w:rPr>
                <w:rFonts w:eastAsia="Calibri"/>
                <w:b/>
                <w:bCs/>
                <w:lang w:val="en-AU" w:eastAsia="fr-FR"/>
              </w:rPr>
            </w:pPr>
          </w:p>
        </w:tc>
        <w:tc>
          <w:tcPr>
            <w:tcW w:w="709" w:type="dxa"/>
            <w:shd w:val="clear" w:color="auto" w:fill="E2EFD9" w:themeFill="accent6" w:themeFillTint="33"/>
          </w:tcPr>
          <w:p w14:paraId="656A8EA3" w14:textId="2EC54BA6" w:rsidR="00F7036D" w:rsidRDefault="007410BB" w:rsidP="00F002D0">
            <w:pPr>
              <w:jc w:val="center"/>
              <w:rPr>
                <w:b/>
                <w:iCs/>
                <w:snapToGrid w:val="0"/>
                <w:kern w:val="1"/>
              </w:rPr>
            </w:pPr>
            <w:r>
              <w:rPr>
                <w:b/>
                <w:iCs/>
                <w:snapToGrid w:val="0"/>
                <w:kern w:val="1"/>
              </w:rPr>
              <w:t>146</w:t>
            </w:r>
          </w:p>
        </w:tc>
        <w:tc>
          <w:tcPr>
            <w:tcW w:w="12658" w:type="dxa"/>
            <w:shd w:val="clear" w:color="auto" w:fill="E2EFD9" w:themeFill="accent6" w:themeFillTint="33"/>
          </w:tcPr>
          <w:p w14:paraId="5C18AAFA" w14:textId="5DBBB495" w:rsidR="007410BB" w:rsidRPr="007410BB" w:rsidRDefault="007410BB" w:rsidP="007410BB">
            <w:pPr>
              <w:pStyle w:val="Default"/>
              <w:rPr>
                <w:lang/>
              </w:rPr>
            </w:pPr>
            <w:r w:rsidRPr="007410BB">
              <w:rPr>
                <w:b/>
                <w:bCs/>
                <w:lang/>
              </w:rPr>
              <w:t>ACKNOWLEDGING</w:t>
            </w:r>
            <w:r w:rsidRPr="007410BB">
              <w:rPr>
                <w:lang/>
              </w:rPr>
              <w:t xml:space="preserve"> that Res. 23/08 requires the revision of the ROS data fields, the SC</w:t>
            </w:r>
            <w:r w:rsidRPr="007410BB">
              <w:rPr>
                <w:b/>
                <w:bCs/>
                <w:lang/>
              </w:rPr>
              <w:t xml:space="preserve"> ENDORSED </w:t>
            </w:r>
            <w:r w:rsidRPr="007410BB">
              <w:rPr>
                <w:lang/>
              </w:rPr>
              <w:t>the request of setting up an intersessional working group (either by correspondence, or remotely) convening interested WPDCS and WGEMS participants to discuss and review:</w:t>
            </w:r>
          </w:p>
          <w:p w14:paraId="3964229F" w14:textId="77777777" w:rsidR="007410BB" w:rsidRPr="007410BB" w:rsidRDefault="007410BB" w:rsidP="007410BB">
            <w:pPr>
              <w:pStyle w:val="Default"/>
              <w:rPr>
                <w:lang/>
              </w:rPr>
            </w:pPr>
            <w:r w:rsidRPr="007410BB">
              <w:rPr>
                <w:lang/>
              </w:rPr>
              <w:t>a)</w:t>
            </w:r>
            <w:r w:rsidRPr="007410BB">
              <w:rPr>
                <w:lang/>
              </w:rPr>
              <w:tab/>
              <w:t>The scientific need for each ROS data field (as proposed by the ROS expert workshop of 2018)</w:t>
            </w:r>
          </w:p>
          <w:p w14:paraId="5190F385" w14:textId="77777777" w:rsidR="007410BB" w:rsidRPr="007410BB" w:rsidRDefault="007410BB" w:rsidP="007410BB">
            <w:pPr>
              <w:pStyle w:val="Default"/>
              <w:rPr>
                <w:lang/>
              </w:rPr>
            </w:pPr>
            <w:r w:rsidRPr="007410BB">
              <w:rPr>
                <w:lang/>
              </w:rPr>
              <w:t>b)</w:t>
            </w:r>
            <w:r w:rsidRPr="007410BB">
              <w:rPr>
                <w:lang/>
              </w:rPr>
              <w:tab/>
              <w:t>The status (mandatory / mandatory when feasible / optional) of each ROS data field</w:t>
            </w:r>
          </w:p>
          <w:p w14:paraId="40DB1347" w14:textId="77777777" w:rsidR="007410BB" w:rsidRPr="007410BB" w:rsidRDefault="007410BB" w:rsidP="007410BB">
            <w:pPr>
              <w:pStyle w:val="Default"/>
              <w:rPr>
                <w:lang/>
              </w:rPr>
            </w:pPr>
            <w:r w:rsidRPr="007410BB">
              <w:rPr>
                <w:lang/>
              </w:rPr>
              <w:t>c)</w:t>
            </w:r>
            <w:r w:rsidRPr="007410BB">
              <w:rPr>
                <w:lang/>
              </w:rPr>
              <w:tab/>
              <w:t>The possibility of adding EMS-specific elements to the list of ROS mandatory data fields</w:t>
            </w:r>
          </w:p>
          <w:p w14:paraId="2F7F5C17" w14:textId="77777777" w:rsidR="007410BB" w:rsidRPr="007410BB" w:rsidRDefault="007410BB" w:rsidP="007410BB">
            <w:pPr>
              <w:pStyle w:val="Default"/>
              <w:rPr>
                <w:lang/>
              </w:rPr>
            </w:pPr>
            <w:r w:rsidRPr="007410BB">
              <w:rPr>
                <w:lang/>
              </w:rPr>
              <w:t>d)</w:t>
            </w:r>
            <w:r w:rsidRPr="007410BB">
              <w:rPr>
                <w:lang/>
              </w:rPr>
              <w:tab/>
              <w:t>The inclusion of proper mechanisms / classifications, within the ROS data fields, to better capture details on fins naturally attached to sharks</w:t>
            </w:r>
          </w:p>
          <w:p w14:paraId="43FCBB44" w14:textId="77777777" w:rsidR="007410BB" w:rsidRPr="007410BB" w:rsidRDefault="007410BB" w:rsidP="007410BB">
            <w:pPr>
              <w:pStyle w:val="Default"/>
              <w:rPr>
                <w:lang/>
              </w:rPr>
            </w:pPr>
            <w:r w:rsidRPr="007410BB">
              <w:rPr>
                <w:lang/>
              </w:rPr>
              <w:t>e)</w:t>
            </w:r>
            <w:r w:rsidRPr="007410BB">
              <w:rPr>
                <w:lang/>
              </w:rPr>
              <w:tab/>
              <w:t>The summary of capabilities, advantages, and drawbacks of collecting ROS data fields through alternative methods such as EMS, human onboard observers, port-sampling, self-reporting, etc. (as well as a combination of these).</w:t>
            </w:r>
          </w:p>
          <w:p w14:paraId="43EEEF90" w14:textId="51A90288" w:rsidR="00F7036D" w:rsidRPr="00F7036D" w:rsidRDefault="007410BB" w:rsidP="007410BB">
            <w:pPr>
              <w:pStyle w:val="Default"/>
              <w:rPr>
                <w:lang/>
              </w:rPr>
            </w:pPr>
            <w:r w:rsidRPr="007410BB">
              <w:rPr>
                <w:lang/>
              </w:rPr>
              <w:lastRenderedPageBreak/>
              <w:t xml:space="preserve">and </w:t>
            </w:r>
            <w:r w:rsidRPr="007410BB">
              <w:rPr>
                <w:b/>
                <w:bCs/>
                <w:lang/>
              </w:rPr>
              <w:t>REQUESTED</w:t>
            </w:r>
            <w:r w:rsidRPr="007410BB">
              <w:rPr>
                <w:lang/>
              </w:rPr>
              <w:t xml:space="preserve"> that this group reports to the next session of the WGEMS and WPDCS</w:t>
            </w:r>
          </w:p>
        </w:tc>
      </w:tr>
      <w:tr w:rsidR="00F002D0" w:rsidRPr="00783159" w14:paraId="66BD1F52" w14:textId="77777777" w:rsidTr="005600B4">
        <w:tc>
          <w:tcPr>
            <w:tcW w:w="1843" w:type="dxa"/>
            <w:shd w:val="clear" w:color="auto" w:fill="E2EFD9" w:themeFill="accent6" w:themeFillTint="33"/>
          </w:tcPr>
          <w:p w14:paraId="03A97707" w14:textId="0D04041D" w:rsidR="00F002D0" w:rsidRDefault="00F002D0" w:rsidP="00F002D0">
            <w:pPr>
              <w:jc w:val="center"/>
              <w:rPr>
                <w:rFonts w:eastAsia="Calibri"/>
                <w:b/>
                <w:bCs/>
                <w:lang w:val="en-AU" w:eastAsia="fr-FR"/>
              </w:rPr>
            </w:pPr>
          </w:p>
        </w:tc>
        <w:tc>
          <w:tcPr>
            <w:tcW w:w="709" w:type="dxa"/>
            <w:shd w:val="clear" w:color="auto" w:fill="E2EFD9" w:themeFill="accent6" w:themeFillTint="33"/>
          </w:tcPr>
          <w:p w14:paraId="1747EB96" w14:textId="4CF2AC8A" w:rsidR="00F002D0" w:rsidRDefault="00F002D0" w:rsidP="00F002D0">
            <w:pPr>
              <w:jc w:val="center"/>
              <w:rPr>
                <w:b/>
                <w:iCs/>
                <w:snapToGrid w:val="0"/>
                <w:kern w:val="1"/>
              </w:rPr>
            </w:pPr>
          </w:p>
        </w:tc>
        <w:tc>
          <w:tcPr>
            <w:tcW w:w="12658" w:type="dxa"/>
            <w:shd w:val="clear" w:color="auto" w:fill="E2EFD9" w:themeFill="accent6" w:themeFillTint="33"/>
          </w:tcPr>
          <w:p w14:paraId="3D259B21" w14:textId="3B8DE0B7" w:rsidR="00F002D0" w:rsidRPr="002C5BCB" w:rsidRDefault="00F002D0" w:rsidP="00F002D0">
            <w:pPr>
              <w:pStyle w:val="Default"/>
              <w:rPr>
                <w:sz w:val="22"/>
                <w:szCs w:val="22"/>
              </w:rPr>
            </w:pPr>
            <w:r w:rsidRPr="00A54F33">
              <w:rPr>
                <w:sz w:val="22"/>
                <w:szCs w:val="22"/>
              </w:rPr>
              <w:t xml:space="preserve"> </w:t>
            </w:r>
          </w:p>
        </w:tc>
      </w:tr>
      <w:tr w:rsidR="00013703" w:rsidRPr="00783159" w14:paraId="0880B241" w14:textId="77777777" w:rsidTr="005600B4">
        <w:tc>
          <w:tcPr>
            <w:tcW w:w="1843" w:type="dxa"/>
            <w:shd w:val="clear" w:color="auto" w:fill="E2EFD9" w:themeFill="accent6" w:themeFillTint="33"/>
          </w:tcPr>
          <w:p w14:paraId="6E8E85E8" w14:textId="77777777" w:rsidR="00013703" w:rsidRDefault="00013703" w:rsidP="00013703">
            <w:pPr>
              <w:jc w:val="center"/>
              <w:rPr>
                <w:rFonts w:eastAsia="Calibri"/>
                <w:b/>
                <w:bCs/>
                <w:lang w:val="en-AU" w:eastAsia="fr-FR"/>
              </w:rPr>
            </w:pPr>
            <w:r>
              <w:rPr>
                <w:rFonts w:eastAsia="Calibri"/>
                <w:b/>
                <w:bCs/>
                <w:lang w:val="en-AU" w:eastAsia="fr-FR"/>
              </w:rPr>
              <w:t>WPNT14</w:t>
            </w:r>
          </w:p>
          <w:p w14:paraId="439C89A3" w14:textId="6CB416D4" w:rsidR="00013703" w:rsidRDefault="00013703" w:rsidP="00013703">
            <w:pPr>
              <w:jc w:val="center"/>
              <w:rPr>
                <w:rFonts w:eastAsia="Calibri"/>
                <w:b/>
                <w:bCs/>
                <w:lang w:val="en-AU" w:eastAsia="fr-FR"/>
              </w:rPr>
            </w:pPr>
            <w:r>
              <w:rPr>
                <w:rFonts w:eastAsia="Calibri"/>
                <w:b/>
                <w:bCs/>
                <w:lang w:val="en-AU" w:eastAsia="fr-FR"/>
              </w:rPr>
              <w:t>(July 2024)</w:t>
            </w:r>
          </w:p>
        </w:tc>
        <w:tc>
          <w:tcPr>
            <w:tcW w:w="709" w:type="dxa"/>
            <w:shd w:val="clear" w:color="auto" w:fill="E2EFD9" w:themeFill="accent6" w:themeFillTint="33"/>
          </w:tcPr>
          <w:p w14:paraId="67591C3C" w14:textId="4A257807" w:rsidR="00013703" w:rsidRDefault="00013703" w:rsidP="00F002D0">
            <w:pPr>
              <w:jc w:val="center"/>
              <w:rPr>
                <w:b/>
                <w:iCs/>
                <w:snapToGrid w:val="0"/>
                <w:kern w:val="1"/>
              </w:rPr>
            </w:pPr>
            <w:r>
              <w:rPr>
                <w:b/>
                <w:iCs/>
                <w:snapToGrid w:val="0"/>
                <w:kern w:val="1"/>
              </w:rPr>
              <w:t>11</w:t>
            </w:r>
          </w:p>
        </w:tc>
        <w:tc>
          <w:tcPr>
            <w:tcW w:w="12658" w:type="dxa"/>
            <w:shd w:val="clear" w:color="auto" w:fill="E2EFD9" w:themeFill="accent6" w:themeFillTint="33"/>
          </w:tcPr>
          <w:p w14:paraId="609D2AD2" w14:textId="06AC3DC4" w:rsidR="00013703" w:rsidRPr="00A54F33" w:rsidRDefault="00013703" w:rsidP="00F002D0">
            <w:pPr>
              <w:pStyle w:val="Default"/>
              <w:rPr>
                <w:sz w:val="22"/>
                <w:szCs w:val="22"/>
              </w:rPr>
            </w:pPr>
            <w:r w:rsidRPr="00013703">
              <w:rPr>
                <w:sz w:val="22"/>
                <w:szCs w:val="22"/>
              </w:rPr>
              <w:t>11.</w:t>
            </w:r>
            <w:r w:rsidRPr="00013703">
              <w:rPr>
                <w:sz w:val="22"/>
                <w:szCs w:val="22"/>
              </w:rPr>
              <w:tab/>
              <w:t xml:space="preserve">The WPNT REITERATED its </w:t>
            </w:r>
            <w:r w:rsidRPr="00013703">
              <w:rPr>
                <w:b/>
                <w:bCs/>
                <w:sz w:val="22"/>
                <w:szCs w:val="22"/>
              </w:rPr>
              <w:t>REQUEST</w:t>
            </w:r>
            <w:r w:rsidRPr="00013703">
              <w:rPr>
                <w:sz w:val="22"/>
                <w:szCs w:val="22"/>
              </w:rPr>
              <w:t xml:space="preserve"> for CPCs to report size and weight data for neritic (and all) species, to the Secretariat. The WPNT </w:t>
            </w:r>
            <w:r w:rsidRPr="00013703">
              <w:rPr>
                <w:b/>
                <w:bCs/>
                <w:sz w:val="22"/>
                <w:szCs w:val="22"/>
              </w:rPr>
              <w:t>NOTED</w:t>
            </w:r>
            <w:r w:rsidRPr="00013703">
              <w:rPr>
                <w:sz w:val="22"/>
                <w:szCs w:val="22"/>
              </w:rPr>
              <w:t xml:space="preserve"> that the Secretariat has been working to harmonise the code lists for different length types which necessitates each fish to be identified with its corresponding length and weight measurements. This effort aims to streamline the reporting process for these data. </w:t>
            </w:r>
          </w:p>
        </w:tc>
      </w:tr>
      <w:tr w:rsidR="00F002D0" w:rsidRPr="00783159" w14:paraId="3EDD4BBA" w14:textId="77777777" w:rsidTr="005600B4">
        <w:tc>
          <w:tcPr>
            <w:tcW w:w="1843" w:type="dxa"/>
            <w:shd w:val="clear" w:color="auto" w:fill="E2EFD9" w:themeFill="accent6" w:themeFillTint="33"/>
          </w:tcPr>
          <w:p w14:paraId="2E1EB63C" w14:textId="77777777" w:rsidR="00F002D0" w:rsidRDefault="00F002D0" w:rsidP="00F002D0">
            <w:pPr>
              <w:jc w:val="center"/>
              <w:rPr>
                <w:rFonts w:eastAsia="Calibri"/>
                <w:b/>
                <w:bCs/>
                <w:lang w:val="en-AU" w:eastAsia="fr-FR"/>
              </w:rPr>
            </w:pPr>
            <w:r w:rsidRPr="00965ACF">
              <w:rPr>
                <w:rFonts w:eastAsia="Calibri"/>
                <w:b/>
                <w:bCs/>
                <w:lang w:val="en-AU" w:eastAsia="fr-FR"/>
              </w:rPr>
              <w:t>WGEMS03</w:t>
            </w:r>
          </w:p>
          <w:p w14:paraId="6B41DC88" w14:textId="10796FFC" w:rsidR="00F002D0" w:rsidRPr="00783159" w:rsidRDefault="00F002D0" w:rsidP="00F002D0">
            <w:pPr>
              <w:jc w:val="center"/>
              <w:rPr>
                <w:rFonts w:eastAsia="Calibri"/>
                <w:b/>
                <w:bCs/>
                <w:lang w:val="en-AU" w:eastAsia="fr-FR"/>
              </w:rPr>
            </w:pPr>
            <w:r>
              <w:rPr>
                <w:rFonts w:eastAsia="Calibri"/>
                <w:b/>
                <w:bCs/>
                <w:lang w:val="en-AU" w:eastAsia="fr-FR"/>
              </w:rPr>
              <w:t>(</w:t>
            </w:r>
            <w:r w:rsidR="00272EF8">
              <w:rPr>
                <w:rFonts w:eastAsia="Calibri"/>
                <w:b/>
                <w:bCs/>
                <w:lang w:val="en-AU" w:eastAsia="fr-FR"/>
              </w:rPr>
              <w:t>June 2024</w:t>
            </w:r>
            <w:r>
              <w:rPr>
                <w:rFonts w:eastAsia="Calibri"/>
                <w:b/>
                <w:bCs/>
                <w:lang w:val="en-AU" w:eastAsia="fr-FR"/>
              </w:rPr>
              <w:t>)</w:t>
            </w:r>
          </w:p>
        </w:tc>
        <w:tc>
          <w:tcPr>
            <w:tcW w:w="709" w:type="dxa"/>
            <w:shd w:val="clear" w:color="auto" w:fill="E2EFD9" w:themeFill="accent6" w:themeFillTint="33"/>
          </w:tcPr>
          <w:p w14:paraId="58B64B36" w14:textId="7DF5CB11" w:rsidR="00F002D0" w:rsidRPr="00380B01" w:rsidRDefault="00776D66" w:rsidP="00F002D0">
            <w:pPr>
              <w:jc w:val="center"/>
              <w:rPr>
                <w:b/>
                <w:iCs/>
                <w:snapToGrid w:val="0"/>
                <w:kern w:val="1"/>
              </w:rPr>
            </w:pPr>
            <w:r>
              <w:rPr>
                <w:b/>
                <w:iCs/>
                <w:snapToGrid w:val="0"/>
                <w:kern w:val="1"/>
              </w:rPr>
              <w:t>34</w:t>
            </w:r>
          </w:p>
        </w:tc>
        <w:tc>
          <w:tcPr>
            <w:tcW w:w="12658" w:type="dxa"/>
            <w:shd w:val="clear" w:color="auto" w:fill="E2EFD9" w:themeFill="accent6" w:themeFillTint="33"/>
          </w:tcPr>
          <w:p w14:paraId="64702F8E" w14:textId="2B1C74E9" w:rsidR="00F002D0" w:rsidRPr="009730D2" w:rsidRDefault="00776D66" w:rsidP="00F002D0">
            <w:pPr>
              <w:pStyle w:val="Default"/>
              <w:jc w:val="both"/>
              <w:rPr>
                <w:b/>
                <w:iCs/>
                <w:snapToGrid w:val="0"/>
                <w:kern w:val="1"/>
              </w:rPr>
            </w:pPr>
            <w:r w:rsidRPr="00776D66">
              <w:rPr>
                <w:sz w:val="22"/>
                <w:szCs w:val="22"/>
              </w:rPr>
              <w:t xml:space="preserve">The WGEMS </w:t>
            </w:r>
            <w:r w:rsidRPr="00776D66">
              <w:rPr>
                <w:b/>
                <w:bCs/>
                <w:sz w:val="22"/>
                <w:szCs w:val="22"/>
              </w:rPr>
              <w:t>NOTED</w:t>
            </w:r>
            <w:r w:rsidRPr="00776D66">
              <w:rPr>
                <w:sz w:val="22"/>
                <w:szCs w:val="22"/>
              </w:rPr>
              <w:t xml:space="preserve"> that there was insufficient time to extract information about the coverage of pole and line fisheries from the observer database but further NOTED that the Secretariat intends to complete the work including this fleet as soon as possible. The WGEMS REQUESTED the Secretariat to present an update document including the pole and line at the WPDCS.</w:t>
            </w:r>
          </w:p>
        </w:tc>
      </w:tr>
      <w:tr w:rsidR="00776D66" w:rsidRPr="00783159" w14:paraId="1400B624" w14:textId="77777777" w:rsidTr="005600B4">
        <w:tc>
          <w:tcPr>
            <w:tcW w:w="1843" w:type="dxa"/>
            <w:shd w:val="clear" w:color="auto" w:fill="E2EFD9" w:themeFill="accent6" w:themeFillTint="33"/>
          </w:tcPr>
          <w:p w14:paraId="3E3432C8" w14:textId="77777777" w:rsidR="00776D66" w:rsidRPr="00965ACF" w:rsidRDefault="00776D66" w:rsidP="00F002D0">
            <w:pPr>
              <w:jc w:val="center"/>
              <w:rPr>
                <w:rFonts w:eastAsia="Calibri"/>
                <w:b/>
                <w:bCs/>
                <w:lang w:val="en-AU" w:eastAsia="fr-FR"/>
              </w:rPr>
            </w:pPr>
          </w:p>
        </w:tc>
        <w:tc>
          <w:tcPr>
            <w:tcW w:w="709" w:type="dxa"/>
            <w:shd w:val="clear" w:color="auto" w:fill="E2EFD9" w:themeFill="accent6" w:themeFillTint="33"/>
          </w:tcPr>
          <w:p w14:paraId="738CE63D" w14:textId="07A29FDB" w:rsidR="00776D66" w:rsidRDefault="00776D66" w:rsidP="00F002D0">
            <w:pPr>
              <w:jc w:val="center"/>
              <w:rPr>
                <w:b/>
                <w:iCs/>
                <w:snapToGrid w:val="0"/>
                <w:kern w:val="1"/>
              </w:rPr>
            </w:pPr>
            <w:r>
              <w:rPr>
                <w:b/>
                <w:iCs/>
                <w:snapToGrid w:val="0"/>
                <w:kern w:val="1"/>
              </w:rPr>
              <w:t>35</w:t>
            </w:r>
          </w:p>
        </w:tc>
        <w:tc>
          <w:tcPr>
            <w:tcW w:w="12658" w:type="dxa"/>
            <w:shd w:val="clear" w:color="auto" w:fill="E2EFD9" w:themeFill="accent6" w:themeFillTint="33"/>
          </w:tcPr>
          <w:p w14:paraId="1CB3AC78" w14:textId="5AC8FBD4" w:rsidR="00776D66" w:rsidRPr="00776D66" w:rsidRDefault="00776D66" w:rsidP="00776D66">
            <w:pPr>
              <w:pStyle w:val="Default"/>
              <w:rPr>
                <w:sz w:val="22"/>
                <w:szCs w:val="22"/>
              </w:rPr>
            </w:pPr>
            <w:r w:rsidRPr="00776D66">
              <w:rPr>
                <w:sz w:val="22"/>
                <w:szCs w:val="22"/>
              </w:rPr>
              <w:t xml:space="preserve">The WGEMS </w:t>
            </w:r>
            <w:r w:rsidRPr="00776D66">
              <w:rPr>
                <w:b/>
                <w:bCs/>
                <w:sz w:val="22"/>
                <w:szCs w:val="22"/>
              </w:rPr>
              <w:t>NOTED</w:t>
            </w:r>
            <w:r w:rsidRPr="00776D66">
              <w:rPr>
                <w:sz w:val="22"/>
                <w:szCs w:val="22"/>
              </w:rPr>
              <w:t xml:space="preserve"> that this document provides a summary of the data currently available in the ROS database but further </w:t>
            </w:r>
            <w:r w:rsidRPr="00776D66">
              <w:rPr>
                <w:b/>
                <w:bCs/>
                <w:sz w:val="22"/>
                <w:szCs w:val="22"/>
              </w:rPr>
              <w:t>NOTED</w:t>
            </w:r>
            <w:r w:rsidRPr="00776D66">
              <w:rPr>
                <w:sz w:val="22"/>
                <w:szCs w:val="22"/>
              </w:rPr>
              <w:t xml:space="preserve"> that the Secretariat has received more data than is currently available in the ROS database but many of these data have been submitted in formats that cannot easily be input into the database such as in pdf format or aggregated over several trips. The WGEMS </w:t>
            </w:r>
            <w:r w:rsidRPr="00776D66">
              <w:rPr>
                <w:b/>
                <w:bCs/>
                <w:sz w:val="22"/>
                <w:szCs w:val="22"/>
              </w:rPr>
              <w:t>NOTED</w:t>
            </w:r>
            <w:r w:rsidRPr="00776D66">
              <w:rPr>
                <w:sz w:val="22"/>
                <w:szCs w:val="22"/>
              </w:rPr>
              <w:t xml:space="preserve"> that many CPCs have been improving their submissions in recent years, with more using the required formats so these will be input into the database and there is hope that some will resubmit past data in suitable formats so they can also be included in the analysis.</w:t>
            </w:r>
          </w:p>
          <w:p w14:paraId="7F69AC37" w14:textId="67CEC983" w:rsidR="00776D66" w:rsidRPr="00965ACF" w:rsidRDefault="00776D66" w:rsidP="00776D66">
            <w:pPr>
              <w:pStyle w:val="Default"/>
              <w:jc w:val="both"/>
              <w:rPr>
                <w:sz w:val="22"/>
                <w:szCs w:val="22"/>
              </w:rPr>
            </w:pPr>
          </w:p>
        </w:tc>
      </w:tr>
      <w:tr w:rsidR="00776D66" w:rsidRPr="00783159" w14:paraId="22E423E5" w14:textId="77777777" w:rsidTr="005600B4">
        <w:tc>
          <w:tcPr>
            <w:tcW w:w="1843" w:type="dxa"/>
            <w:shd w:val="clear" w:color="auto" w:fill="E2EFD9" w:themeFill="accent6" w:themeFillTint="33"/>
          </w:tcPr>
          <w:p w14:paraId="1169F0B6" w14:textId="77777777" w:rsidR="00776D66" w:rsidRPr="00965ACF" w:rsidRDefault="00776D66" w:rsidP="00F002D0">
            <w:pPr>
              <w:jc w:val="center"/>
              <w:rPr>
                <w:rFonts w:eastAsia="Calibri"/>
                <w:b/>
                <w:bCs/>
                <w:lang w:val="en-AU" w:eastAsia="fr-FR"/>
              </w:rPr>
            </w:pPr>
          </w:p>
        </w:tc>
        <w:tc>
          <w:tcPr>
            <w:tcW w:w="709" w:type="dxa"/>
            <w:shd w:val="clear" w:color="auto" w:fill="E2EFD9" w:themeFill="accent6" w:themeFillTint="33"/>
          </w:tcPr>
          <w:p w14:paraId="28442E9D" w14:textId="7977C0B9" w:rsidR="00776D66" w:rsidRDefault="00776D66" w:rsidP="00F002D0">
            <w:pPr>
              <w:jc w:val="center"/>
              <w:rPr>
                <w:b/>
                <w:iCs/>
                <w:snapToGrid w:val="0"/>
                <w:kern w:val="1"/>
              </w:rPr>
            </w:pPr>
            <w:r>
              <w:rPr>
                <w:b/>
                <w:iCs/>
                <w:snapToGrid w:val="0"/>
                <w:kern w:val="1"/>
              </w:rPr>
              <w:t>36</w:t>
            </w:r>
          </w:p>
        </w:tc>
        <w:tc>
          <w:tcPr>
            <w:tcW w:w="12658" w:type="dxa"/>
            <w:shd w:val="clear" w:color="auto" w:fill="E2EFD9" w:themeFill="accent6" w:themeFillTint="33"/>
          </w:tcPr>
          <w:p w14:paraId="5ABD1539" w14:textId="7A69F7A9" w:rsidR="00776D66" w:rsidRPr="00776D66" w:rsidRDefault="00776D66" w:rsidP="00776D66">
            <w:pPr>
              <w:pStyle w:val="Default"/>
              <w:rPr>
                <w:sz w:val="22"/>
                <w:szCs w:val="22"/>
              </w:rPr>
            </w:pPr>
            <w:r w:rsidRPr="00776D66">
              <w:rPr>
                <w:sz w:val="22"/>
                <w:szCs w:val="22"/>
              </w:rPr>
              <w:t xml:space="preserve">The WGEMS </w:t>
            </w:r>
            <w:r w:rsidRPr="00776D66">
              <w:rPr>
                <w:b/>
                <w:bCs/>
                <w:sz w:val="22"/>
                <w:szCs w:val="22"/>
              </w:rPr>
              <w:t>NOTED</w:t>
            </w:r>
            <w:r w:rsidRPr="00776D66">
              <w:rPr>
                <w:sz w:val="22"/>
                <w:szCs w:val="22"/>
              </w:rPr>
              <w:t xml:space="preserve"> the intention of the Secretariat to repeat this exercise routinely in an automated way to better monitor the contents of the ROS database. The WGEMS </w:t>
            </w:r>
            <w:r w:rsidRPr="00776D66">
              <w:rPr>
                <w:b/>
                <w:bCs/>
                <w:sz w:val="22"/>
                <w:szCs w:val="22"/>
              </w:rPr>
              <w:t>REQUESTED</w:t>
            </w:r>
            <w:r w:rsidRPr="00776D66">
              <w:rPr>
                <w:sz w:val="22"/>
                <w:szCs w:val="22"/>
              </w:rPr>
              <w:t xml:space="preserve"> the Secretariat to continue with this work.</w:t>
            </w:r>
          </w:p>
        </w:tc>
      </w:tr>
      <w:tr w:rsidR="00272EF8" w:rsidRPr="00783159" w14:paraId="38E8BA10" w14:textId="77777777" w:rsidTr="005600B4">
        <w:tc>
          <w:tcPr>
            <w:tcW w:w="1843" w:type="dxa"/>
            <w:shd w:val="clear" w:color="auto" w:fill="E2EFD9" w:themeFill="accent6" w:themeFillTint="33"/>
          </w:tcPr>
          <w:p w14:paraId="4D0BFC42" w14:textId="77777777" w:rsidR="00272EF8" w:rsidRPr="00965ACF" w:rsidRDefault="00272EF8" w:rsidP="00F002D0">
            <w:pPr>
              <w:jc w:val="center"/>
              <w:rPr>
                <w:rFonts w:eastAsia="Calibri"/>
                <w:b/>
                <w:bCs/>
                <w:lang w:val="en-AU" w:eastAsia="fr-FR"/>
              </w:rPr>
            </w:pPr>
          </w:p>
        </w:tc>
        <w:tc>
          <w:tcPr>
            <w:tcW w:w="709" w:type="dxa"/>
            <w:shd w:val="clear" w:color="auto" w:fill="E2EFD9" w:themeFill="accent6" w:themeFillTint="33"/>
          </w:tcPr>
          <w:p w14:paraId="5FD93F79" w14:textId="2EC6EEB6" w:rsidR="00272EF8" w:rsidRDefault="00272EF8" w:rsidP="00F002D0">
            <w:pPr>
              <w:jc w:val="center"/>
              <w:rPr>
                <w:b/>
                <w:iCs/>
                <w:snapToGrid w:val="0"/>
                <w:kern w:val="1"/>
              </w:rPr>
            </w:pPr>
            <w:r>
              <w:rPr>
                <w:b/>
                <w:iCs/>
                <w:snapToGrid w:val="0"/>
                <w:kern w:val="1"/>
              </w:rPr>
              <w:t>31</w:t>
            </w:r>
          </w:p>
        </w:tc>
        <w:tc>
          <w:tcPr>
            <w:tcW w:w="12658" w:type="dxa"/>
            <w:shd w:val="clear" w:color="auto" w:fill="E2EFD9" w:themeFill="accent6" w:themeFillTint="33"/>
          </w:tcPr>
          <w:p w14:paraId="2C64FA72" w14:textId="25E1E0E9" w:rsidR="00272EF8" w:rsidRPr="00776D66" w:rsidRDefault="00272EF8" w:rsidP="00776D66">
            <w:pPr>
              <w:pStyle w:val="Default"/>
              <w:rPr>
                <w:sz w:val="22"/>
                <w:szCs w:val="22"/>
              </w:rPr>
            </w:pPr>
            <w:r w:rsidRPr="00272EF8">
              <w:rPr>
                <w:sz w:val="22"/>
                <w:szCs w:val="22"/>
              </w:rPr>
              <w:t xml:space="preserve">The WGEMS </w:t>
            </w:r>
            <w:r w:rsidRPr="00272EF8">
              <w:rPr>
                <w:b/>
                <w:bCs/>
                <w:sz w:val="22"/>
                <w:szCs w:val="22"/>
              </w:rPr>
              <w:t>NOTED</w:t>
            </w:r>
            <w:r w:rsidRPr="00272EF8">
              <w:rPr>
                <w:sz w:val="22"/>
                <w:szCs w:val="22"/>
              </w:rPr>
              <w:t xml:space="preserve"> that geo-referenced catch, effort, and size-frequency data have been collected in Pakistan for the year 2022 but not yet transmitted to the Secretariat due to administrative issues. The WGEMS </w:t>
            </w:r>
            <w:r w:rsidRPr="00272EF8">
              <w:rPr>
                <w:b/>
                <w:bCs/>
                <w:sz w:val="22"/>
                <w:szCs w:val="22"/>
              </w:rPr>
              <w:t>URGED</w:t>
            </w:r>
            <w:r w:rsidRPr="00272EF8">
              <w:rPr>
                <w:sz w:val="22"/>
                <w:szCs w:val="22"/>
              </w:rPr>
              <w:t xml:space="preserve"> Pakistan to report the data at their earliest convenience. </w:t>
            </w:r>
          </w:p>
        </w:tc>
      </w:tr>
      <w:tr w:rsidR="00F002D0" w:rsidRPr="00783159" w14:paraId="22025DF5" w14:textId="77777777" w:rsidTr="005600B4">
        <w:tc>
          <w:tcPr>
            <w:tcW w:w="1843" w:type="dxa"/>
            <w:shd w:val="clear" w:color="auto" w:fill="E2EFD9" w:themeFill="accent6" w:themeFillTint="33"/>
          </w:tcPr>
          <w:p w14:paraId="45F6D1D1" w14:textId="58575BCD" w:rsidR="00F002D0" w:rsidRDefault="00F002D0" w:rsidP="00F002D0">
            <w:pPr>
              <w:jc w:val="center"/>
              <w:rPr>
                <w:rFonts w:eastAsia="Calibri"/>
                <w:b/>
                <w:bCs/>
                <w:lang w:val="en-AU" w:eastAsia="fr-FR"/>
              </w:rPr>
            </w:pPr>
            <w:r>
              <w:rPr>
                <w:rFonts w:eastAsia="Calibri"/>
                <w:b/>
                <w:bCs/>
                <w:lang w:val="en-AU" w:eastAsia="fr-FR"/>
              </w:rPr>
              <w:t>WPB2</w:t>
            </w:r>
            <w:r w:rsidR="0003004A">
              <w:rPr>
                <w:rFonts w:eastAsia="Calibri"/>
                <w:b/>
                <w:bCs/>
                <w:lang w:val="en-AU" w:eastAsia="fr-FR"/>
              </w:rPr>
              <w:t>2</w:t>
            </w:r>
          </w:p>
          <w:p w14:paraId="28DC2701" w14:textId="192480D3" w:rsidR="00F002D0" w:rsidRDefault="00F002D0" w:rsidP="00F002D0">
            <w:pPr>
              <w:jc w:val="center"/>
              <w:rPr>
                <w:rFonts w:eastAsia="Calibri"/>
                <w:b/>
                <w:bCs/>
                <w:lang w:val="en-AU" w:eastAsia="fr-FR"/>
              </w:rPr>
            </w:pPr>
            <w:r>
              <w:rPr>
                <w:rFonts w:eastAsia="Calibri"/>
                <w:b/>
                <w:bCs/>
                <w:lang w:val="en-AU" w:eastAsia="fr-FR"/>
              </w:rPr>
              <w:t>(September 202</w:t>
            </w:r>
            <w:r w:rsidR="00824D4A">
              <w:rPr>
                <w:rFonts w:eastAsia="Calibri"/>
                <w:b/>
                <w:bCs/>
                <w:lang w:val="en-AU" w:eastAsia="fr-FR"/>
              </w:rPr>
              <w:t>4</w:t>
            </w:r>
            <w:r>
              <w:rPr>
                <w:rFonts w:eastAsia="Calibri"/>
                <w:b/>
                <w:bCs/>
                <w:lang w:val="en-AU" w:eastAsia="fr-FR"/>
              </w:rPr>
              <w:t>)</w:t>
            </w:r>
          </w:p>
        </w:tc>
        <w:tc>
          <w:tcPr>
            <w:tcW w:w="709" w:type="dxa"/>
            <w:shd w:val="clear" w:color="auto" w:fill="E2EFD9" w:themeFill="accent6" w:themeFillTint="33"/>
          </w:tcPr>
          <w:p w14:paraId="20D1104E" w14:textId="52302BA9" w:rsidR="00F002D0" w:rsidRDefault="00824D4A" w:rsidP="00F002D0">
            <w:pPr>
              <w:jc w:val="center"/>
              <w:rPr>
                <w:b/>
                <w:iCs/>
                <w:snapToGrid w:val="0"/>
                <w:kern w:val="1"/>
              </w:rPr>
            </w:pPr>
            <w:r>
              <w:rPr>
                <w:b/>
                <w:iCs/>
                <w:snapToGrid w:val="0"/>
                <w:kern w:val="1"/>
              </w:rPr>
              <w:t>42</w:t>
            </w:r>
          </w:p>
        </w:tc>
        <w:tc>
          <w:tcPr>
            <w:tcW w:w="12658" w:type="dxa"/>
            <w:shd w:val="clear" w:color="auto" w:fill="E2EFD9" w:themeFill="accent6" w:themeFillTint="33"/>
          </w:tcPr>
          <w:p w14:paraId="0F6B49FE" w14:textId="1D07C0B2" w:rsidR="00F002D0" w:rsidRPr="002C5BCB" w:rsidRDefault="00824D4A" w:rsidP="00F002D0">
            <w:pPr>
              <w:pStyle w:val="Default"/>
              <w:rPr>
                <w:sz w:val="22"/>
                <w:szCs w:val="22"/>
              </w:rPr>
            </w:pPr>
            <w:r w:rsidRPr="00824D4A">
              <w:rPr>
                <w:b/>
                <w:bCs/>
                <w:sz w:val="22"/>
                <w:szCs w:val="22"/>
              </w:rPr>
              <w:t>ACKNOWLEDGING</w:t>
            </w:r>
            <w:r w:rsidRPr="00824D4A">
              <w:rPr>
                <w:sz w:val="22"/>
                <w:szCs w:val="22"/>
              </w:rPr>
              <w:t xml:space="preserve"> the importance of morphometric relationships in harmonising size-frequency data collected using different measurement types for billfish, due to varying dressing procedures, the WPB </w:t>
            </w:r>
            <w:r w:rsidRPr="00824D4A">
              <w:rPr>
                <w:b/>
                <w:bCs/>
                <w:sz w:val="22"/>
                <w:szCs w:val="22"/>
              </w:rPr>
              <w:t>REQUESTED</w:t>
            </w:r>
            <w:r w:rsidRPr="00824D4A">
              <w:rPr>
                <w:sz w:val="22"/>
                <w:szCs w:val="22"/>
              </w:rPr>
              <w:t xml:space="preserve"> the Secretariat to develop a new voluntary form for reporting individual morphometric data, to enhance the IOTC reference morphometric relationships.</w:t>
            </w:r>
          </w:p>
        </w:tc>
      </w:tr>
      <w:tr w:rsidR="00F002D0" w:rsidRPr="00783159" w14:paraId="1B4508E0" w14:textId="77777777" w:rsidTr="005600B4">
        <w:tc>
          <w:tcPr>
            <w:tcW w:w="1843" w:type="dxa"/>
            <w:shd w:val="clear" w:color="auto" w:fill="E2EFD9" w:themeFill="accent6" w:themeFillTint="33"/>
          </w:tcPr>
          <w:p w14:paraId="607AA008" w14:textId="77777777" w:rsidR="00F002D0" w:rsidRDefault="00F002D0" w:rsidP="00F002D0">
            <w:pPr>
              <w:jc w:val="center"/>
              <w:rPr>
                <w:rFonts w:eastAsia="Calibri"/>
                <w:b/>
                <w:bCs/>
                <w:lang w:val="en-AU" w:eastAsia="fr-FR"/>
              </w:rPr>
            </w:pPr>
            <w:r>
              <w:rPr>
                <w:rFonts w:eastAsia="Calibri"/>
                <w:b/>
                <w:bCs/>
                <w:lang w:val="en-AU" w:eastAsia="fr-FR"/>
              </w:rPr>
              <w:t>WPEB</w:t>
            </w:r>
            <w:r w:rsidR="0003004A">
              <w:rPr>
                <w:rFonts w:eastAsia="Calibri"/>
                <w:b/>
                <w:bCs/>
                <w:lang w:val="en-AU" w:eastAsia="fr-FR"/>
              </w:rPr>
              <w:t>20_DP</w:t>
            </w:r>
          </w:p>
          <w:p w14:paraId="4FDB3AD2" w14:textId="7CC705B2" w:rsidR="0003004A" w:rsidRDefault="0003004A" w:rsidP="00F002D0">
            <w:pPr>
              <w:jc w:val="center"/>
              <w:rPr>
                <w:rFonts w:eastAsia="Calibri"/>
                <w:b/>
                <w:bCs/>
                <w:lang w:val="en-AU" w:eastAsia="fr-FR"/>
              </w:rPr>
            </w:pPr>
            <w:r>
              <w:rPr>
                <w:rFonts w:eastAsia="Calibri"/>
                <w:b/>
                <w:bCs/>
                <w:lang w:val="en-AU" w:eastAsia="fr-FR"/>
              </w:rPr>
              <w:t>(</w:t>
            </w:r>
            <w:r>
              <w:rPr>
                <w:rFonts w:eastAsia="Calibri"/>
                <w:b/>
                <w:bCs/>
                <w:lang w:val="en-AU" w:eastAsia="fr-FR"/>
              </w:rPr>
              <w:t>April</w:t>
            </w:r>
            <w:r>
              <w:rPr>
                <w:rFonts w:eastAsia="Calibri"/>
                <w:b/>
                <w:bCs/>
                <w:lang w:val="en-AU" w:eastAsia="fr-FR"/>
              </w:rPr>
              <w:t xml:space="preserve"> 2024)</w:t>
            </w:r>
          </w:p>
        </w:tc>
        <w:tc>
          <w:tcPr>
            <w:tcW w:w="709" w:type="dxa"/>
            <w:shd w:val="clear" w:color="auto" w:fill="E2EFD9" w:themeFill="accent6" w:themeFillTint="33"/>
          </w:tcPr>
          <w:p w14:paraId="286C7AAF" w14:textId="19C19E3A" w:rsidR="00F002D0" w:rsidRDefault="0003004A" w:rsidP="00F002D0">
            <w:pPr>
              <w:jc w:val="center"/>
              <w:rPr>
                <w:b/>
                <w:iCs/>
                <w:snapToGrid w:val="0"/>
                <w:kern w:val="1"/>
              </w:rPr>
            </w:pPr>
            <w:r>
              <w:rPr>
                <w:b/>
                <w:iCs/>
                <w:snapToGrid w:val="0"/>
                <w:kern w:val="1"/>
              </w:rPr>
              <w:t>81</w:t>
            </w:r>
          </w:p>
        </w:tc>
        <w:tc>
          <w:tcPr>
            <w:tcW w:w="12658" w:type="dxa"/>
            <w:shd w:val="clear" w:color="auto" w:fill="E2EFD9" w:themeFill="accent6" w:themeFillTint="33"/>
          </w:tcPr>
          <w:p w14:paraId="64AB50BB" w14:textId="33DFD8EF" w:rsidR="00F002D0" w:rsidRDefault="0003004A" w:rsidP="00F002D0">
            <w:pPr>
              <w:pStyle w:val="Default"/>
              <w:rPr>
                <w:sz w:val="22"/>
                <w:szCs w:val="22"/>
              </w:rPr>
            </w:pPr>
            <w:r w:rsidRPr="0003004A">
              <w:rPr>
                <w:sz w:val="22"/>
                <w:szCs w:val="22"/>
              </w:rPr>
              <w:t xml:space="preserve">The WPEB </w:t>
            </w:r>
            <w:r w:rsidRPr="0003004A">
              <w:rPr>
                <w:b/>
                <w:bCs/>
                <w:sz w:val="22"/>
                <w:szCs w:val="22"/>
              </w:rPr>
              <w:t>NOTED</w:t>
            </w:r>
            <w:r w:rsidRPr="0003004A">
              <w:rPr>
                <w:sz w:val="22"/>
                <w:szCs w:val="22"/>
              </w:rPr>
              <w:t xml:space="preserve"> that the level of catches presented do not contain data on discards reported through form 1DI by some CPCs. </w:t>
            </w:r>
            <w:r w:rsidRPr="0003004A">
              <w:rPr>
                <w:b/>
                <w:bCs/>
                <w:sz w:val="22"/>
                <w:szCs w:val="22"/>
              </w:rPr>
              <w:t>NOTING</w:t>
            </w:r>
            <w:r w:rsidRPr="0003004A">
              <w:rPr>
                <w:sz w:val="22"/>
                <w:szCs w:val="22"/>
              </w:rPr>
              <w:t xml:space="preserve"> that Resolution 15/02 currently requires CPCs to report estimates of total catch by species, separated whenever possible into retained catches and discards, the WPEB </w:t>
            </w:r>
            <w:r w:rsidRPr="0003004A">
              <w:rPr>
                <w:b/>
                <w:bCs/>
                <w:sz w:val="22"/>
                <w:szCs w:val="22"/>
              </w:rPr>
              <w:t>NOTED</w:t>
            </w:r>
            <w:r w:rsidRPr="0003004A">
              <w:rPr>
                <w:sz w:val="22"/>
                <w:szCs w:val="22"/>
              </w:rPr>
              <w:t xml:space="preserve"> that discard data are very seldom reported to the Secretariat and are usually not raised to the total catch. Therefore, the WPEB </w:t>
            </w:r>
            <w:r w:rsidRPr="0003004A">
              <w:rPr>
                <w:b/>
                <w:bCs/>
                <w:sz w:val="22"/>
                <w:szCs w:val="22"/>
              </w:rPr>
              <w:t>REQUESTED</w:t>
            </w:r>
            <w:r w:rsidRPr="0003004A">
              <w:rPr>
                <w:sz w:val="22"/>
                <w:szCs w:val="22"/>
              </w:rPr>
              <w:t xml:space="preserve"> CPCs to fully comply with Resolutions 15/01 and 15/02 to ensure reporting of scientific estimates of discards for IOTC species as well as the </w:t>
            </w:r>
            <w:proofErr w:type="gramStart"/>
            <w:r w:rsidRPr="0003004A">
              <w:rPr>
                <w:sz w:val="22"/>
                <w:szCs w:val="22"/>
              </w:rPr>
              <w:t>most commonly caught</w:t>
            </w:r>
            <w:proofErr w:type="gramEnd"/>
            <w:r w:rsidRPr="0003004A">
              <w:rPr>
                <w:sz w:val="22"/>
                <w:szCs w:val="22"/>
              </w:rPr>
              <w:t xml:space="preserve"> sharks (as listed in Resolution 15/01 for longline fisheries), and that details on the estimation methods should be provided to the Scientific Committee.</w:t>
            </w:r>
          </w:p>
        </w:tc>
      </w:tr>
      <w:tr w:rsidR="00B17B6A" w:rsidRPr="00783159" w14:paraId="01A4275F" w14:textId="77777777" w:rsidTr="005600B4">
        <w:tc>
          <w:tcPr>
            <w:tcW w:w="1843" w:type="dxa"/>
            <w:shd w:val="clear" w:color="auto" w:fill="E2EFD9" w:themeFill="accent6" w:themeFillTint="33"/>
          </w:tcPr>
          <w:p w14:paraId="6D54F01C" w14:textId="61CBFE48" w:rsidR="00B17B6A" w:rsidRDefault="00B17B6A" w:rsidP="00B17B6A">
            <w:pPr>
              <w:jc w:val="center"/>
              <w:rPr>
                <w:rFonts w:eastAsia="Calibri"/>
                <w:b/>
                <w:bCs/>
                <w:lang w:val="en-AU" w:eastAsia="fr-FR"/>
              </w:rPr>
            </w:pPr>
            <w:r>
              <w:rPr>
                <w:rFonts w:eastAsia="Calibri"/>
                <w:b/>
                <w:bCs/>
                <w:lang w:val="en-AU" w:eastAsia="fr-FR"/>
              </w:rPr>
              <w:t>WPEB20_</w:t>
            </w:r>
            <w:r>
              <w:rPr>
                <w:rFonts w:eastAsia="Calibri"/>
                <w:b/>
                <w:bCs/>
                <w:lang w:val="en-AU" w:eastAsia="fr-FR"/>
              </w:rPr>
              <w:t>AS</w:t>
            </w:r>
          </w:p>
          <w:p w14:paraId="79AF664D" w14:textId="44637868" w:rsidR="00B17B6A" w:rsidRDefault="00B17B6A" w:rsidP="00B17B6A">
            <w:pPr>
              <w:jc w:val="center"/>
              <w:rPr>
                <w:rFonts w:eastAsia="Calibri"/>
                <w:b/>
                <w:bCs/>
                <w:lang w:val="en-AU" w:eastAsia="fr-FR"/>
              </w:rPr>
            </w:pPr>
            <w:r>
              <w:rPr>
                <w:rFonts w:eastAsia="Calibri"/>
                <w:b/>
                <w:bCs/>
                <w:lang w:val="en-AU" w:eastAsia="fr-FR"/>
              </w:rPr>
              <w:t>(</w:t>
            </w:r>
            <w:r>
              <w:rPr>
                <w:rFonts w:eastAsia="Calibri"/>
                <w:b/>
                <w:bCs/>
                <w:lang w:val="en-AU" w:eastAsia="fr-FR"/>
              </w:rPr>
              <w:t xml:space="preserve">September </w:t>
            </w:r>
            <w:r>
              <w:rPr>
                <w:rFonts w:eastAsia="Calibri"/>
                <w:b/>
                <w:bCs/>
                <w:lang w:val="en-AU" w:eastAsia="fr-FR"/>
              </w:rPr>
              <w:t>2024)</w:t>
            </w:r>
          </w:p>
        </w:tc>
        <w:tc>
          <w:tcPr>
            <w:tcW w:w="709" w:type="dxa"/>
            <w:shd w:val="clear" w:color="auto" w:fill="E2EFD9" w:themeFill="accent6" w:themeFillTint="33"/>
          </w:tcPr>
          <w:p w14:paraId="58F49268" w14:textId="27FA150C" w:rsidR="00B17B6A" w:rsidRDefault="00B17B6A" w:rsidP="00F002D0">
            <w:pPr>
              <w:jc w:val="center"/>
              <w:rPr>
                <w:b/>
                <w:iCs/>
                <w:snapToGrid w:val="0"/>
                <w:kern w:val="1"/>
              </w:rPr>
            </w:pPr>
            <w:r>
              <w:rPr>
                <w:b/>
                <w:iCs/>
                <w:snapToGrid w:val="0"/>
                <w:kern w:val="1"/>
              </w:rPr>
              <w:t>12</w:t>
            </w:r>
          </w:p>
        </w:tc>
        <w:tc>
          <w:tcPr>
            <w:tcW w:w="12658" w:type="dxa"/>
            <w:shd w:val="clear" w:color="auto" w:fill="E2EFD9" w:themeFill="accent6" w:themeFillTint="33"/>
          </w:tcPr>
          <w:p w14:paraId="39A17221" w14:textId="71B5618A" w:rsidR="00B17B6A" w:rsidRPr="0003004A" w:rsidRDefault="00B17B6A" w:rsidP="00F002D0">
            <w:pPr>
              <w:pStyle w:val="Default"/>
              <w:rPr>
                <w:sz w:val="22"/>
                <w:szCs w:val="22"/>
              </w:rPr>
            </w:pPr>
            <w:r w:rsidRPr="00B17B6A">
              <w:rPr>
                <w:sz w:val="22"/>
                <w:szCs w:val="22"/>
              </w:rPr>
              <w:t>The WPEB</w:t>
            </w:r>
            <w:r w:rsidRPr="00B17B6A">
              <w:rPr>
                <w:b/>
                <w:bCs/>
                <w:sz w:val="22"/>
                <w:szCs w:val="22"/>
              </w:rPr>
              <w:t xml:space="preserve"> REITERATED</w:t>
            </w:r>
            <w:r w:rsidRPr="00B17B6A">
              <w:rPr>
                <w:sz w:val="22"/>
                <w:szCs w:val="22"/>
              </w:rPr>
              <w:t xml:space="preserve"> the importance of the recommendation made by the group in 2023: “</w:t>
            </w:r>
            <w:r w:rsidRPr="00B17B6A">
              <w:rPr>
                <w:b/>
                <w:bCs/>
                <w:sz w:val="22"/>
                <w:szCs w:val="22"/>
              </w:rPr>
              <w:t>ACKNOWLEDGING</w:t>
            </w:r>
            <w:r w:rsidRPr="00B17B6A">
              <w:rPr>
                <w:sz w:val="22"/>
                <w:szCs w:val="22"/>
              </w:rPr>
              <w:t xml:space="preserve"> that the current ROS data requirements already enable the recording of shark fins attached / non-attached to carcasses, the WPEB </w:t>
            </w:r>
            <w:r w:rsidRPr="00B17B6A">
              <w:rPr>
                <w:b/>
                <w:bCs/>
                <w:sz w:val="22"/>
                <w:szCs w:val="22"/>
              </w:rPr>
              <w:t>RECOMMENDED</w:t>
            </w:r>
            <w:r w:rsidRPr="00B17B6A">
              <w:rPr>
                <w:sz w:val="22"/>
                <w:szCs w:val="22"/>
              </w:rPr>
              <w:t xml:space="preserve"> that the SC identifies proper mechanisms to ensure this information is regularly collected and reported to the Secretariat through the ROS.” The WPEB </w:t>
            </w:r>
            <w:r w:rsidRPr="00B17B6A">
              <w:rPr>
                <w:b/>
                <w:bCs/>
                <w:sz w:val="22"/>
                <w:szCs w:val="22"/>
              </w:rPr>
              <w:t>REQUESTED</w:t>
            </w:r>
            <w:r w:rsidRPr="00B17B6A">
              <w:rPr>
                <w:sz w:val="22"/>
                <w:szCs w:val="22"/>
              </w:rPr>
              <w:t xml:space="preserve"> that this is discussed by the WPDCS at its meeting later this year as this may be a more appropriate forum for this discussion.</w:t>
            </w:r>
          </w:p>
        </w:tc>
      </w:tr>
      <w:tr w:rsidR="00C92B30" w:rsidRPr="00783159" w14:paraId="4584D936" w14:textId="77777777" w:rsidTr="005600B4">
        <w:tc>
          <w:tcPr>
            <w:tcW w:w="1843" w:type="dxa"/>
            <w:shd w:val="clear" w:color="auto" w:fill="E2EFD9" w:themeFill="accent6" w:themeFillTint="33"/>
          </w:tcPr>
          <w:p w14:paraId="08CADA7E" w14:textId="77777777" w:rsidR="00C92B30" w:rsidRDefault="00C92B30" w:rsidP="00B17B6A">
            <w:pPr>
              <w:jc w:val="center"/>
              <w:rPr>
                <w:rFonts w:eastAsia="Calibri"/>
                <w:b/>
                <w:bCs/>
                <w:lang w:val="en-AU" w:eastAsia="fr-FR"/>
              </w:rPr>
            </w:pPr>
          </w:p>
        </w:tc>
        <w:tc>
          <w:tcPr>
            <w:tcW w:w="709" w:type="dxa"/>
            <w:shd w:val="clear" w:color="auto" w:fill="E2EFD9" w:themeFill="accent6" w:themeFillTint="33"/>
          </w:tcPr>
          <w:p w14:paraId="692CD1AA" w14:textId="0F4AB6E8" w:rsidR="00C92B30" w:rsidRDefault="00C92B30" w:rsidP="00F002D0">
            <w:pPr>
              <w:jc w:val="center"/>
              <w:rPr>
                <w:b/>
                <w:iCs/>
                <w:snapToGrid w:val="0"/>
                <w:kern w:val="1"/>
              </w:rPr>
            </w:pPr>
            <w:r>
              <w:rPr>
                <w:b/>
                <w:iCs/>
                <w:snapToGrid w:val="0"/>
                <w:kern w:val="1"/>
              </w:rPr>
              <w:t>20</w:t>
            </w:r>
          </w:p>
        </w:tc>
        <w:tc>
          <w:tcPr>
            <w:tcW w:w="12658" w:type="dxa"/>
            <w:shd w:val="clear" w:color="auto" w:fill="E2EFD9" w:themeFill="accent6" w:themeFillTint="33"/>
          </w:tcPr>
          <w:p w14:paraId="777458F0" w14:textId="52C0BBC8" w:rsidR="00C92B30" w:rsidRPr="00B17B6A" w:rsidRDefault="00C92B30" w:rsidP="00F002D0">
            <w:pPr>
              <w:pStyle w:val="Default"/>
              <w:rPr>
                <w:sz w:val="22"/>
                <w:szCs w:val="22"/>
              </w:rPr>
            </w:pPr>
            <w:r w:rsidRPr="00C92B30">
              <w:rPr>
                <w:sz w:val="22"/>
                <w:szCs w:val="22"/>
              </w:rPr>
              <w:t xml:space="preserve">The WPEB </w:t>
            </w:r>
            <w:r w:rsidRPr="00C92B30">
              <w:rPr>
                <w:b/>
                <w:bCs/>
                <w:sz w:val="22"/>
                <w:szCs w:val="22"/>
              </w:rPr>
              <w:t>RECALLED</w:t>
            </w:r>
            <w:r w:rsidRPr="00C92B30">
              <w:rPr>
                <w:sz w:val="22"/>
                <w:szCs w:val="22"/>
              </w:rPr>
              <w:t xml:space="preserve"> that the information on total catch for those CPCs who do not report their catch (e.g., Yemen) is either repeated from the previous years, or recovered from other data sources that include, among others, FAO official catch statistics which are also known to be incomplete and are not available by fishing gear/fishery. The WPEB </w:t>
            </w:r>
            <w:r w:rsidRPr="00C92B30">
              <w:rPr>
                <w:b/>
                <w:bCs/>
                <w:sz w:val="22"/>
                <w:szCs w:val="22"/>
              </w:rPr>
              <w:t>REQUESTED</w:t>
            </w:r>
            <w:r w:rsidRPr="00C92B30">
              <w:rPr>
                <w:sz w:val="22"/>
                <w:szCs w:val="22"/>
              </w:rPr>
              <w:t xml:space="preserve"> the Secretariat to consult with the relevant CPCs whenever utilising alternative sources of data for fulfilling the non-reported components or modifying the reported catch.</w:t>
            </w:r>
          </w:p>
        </w:tc>
      </w:tr>
      <w:tr w:rsidR="00B17B6A" w:rsidRPr="00783159" w14:paraId="22A6245A" w14:textId="77777777" w:rsidTr="005600B4">
        <w:tc>
          <w:tcPr>
            <w:tcW w:w="1843" w:type="dxa"/>
            <w:shd w:val="clear" w:color="auto" w:fill="E2EFD9" w:themeFill="accent6" w:themeFillTint="33"/>
          </w:tcPr>
          <w:p w14:paraId="68C17D41" w14:textId="77777777" w:rsidR="00B17B6A" w:rsidRDefault="00B17B6A" w:rsidP="00B17B6A">
            <w:pPr>
              <w:jc w:val="center"/>
              <w:rPr>
                <w:rFonts w:eastAsia="Calibri"/>
                <w:b/>
                <w:bCs/>
                <w:lang w:val="en-AU" w:eastAsia="fr-FR"/>
              </w:rPr>
            </w:pPr>
          </w:p>
        </w:tc>
        <w:tc>
          <w:tcPr>
            <w:tcW w:w="709" w:type="dxa"/>
            <w:shd w:val="clear" w:color="auto" w:fill="E2EFD9" w:themeFill="accent6" w:themeFillTint="33"/>
          </w:tcPr>
          <w:p w14:paraId="61EF0C84" w14:textId="7BCA92CE" w:rsidR="00B17B6A" w:rsidRDefault="00B17B6A" w:rsidP="00F002D0">
            <w:pPr>
              <w:jc w:val="center"/>
              <w:rPr>
                <w:b/>
                <w:iCs/>
                <w:snapToGrid w:val="0"/>
                <w:kern w:val="1"/>
              </w:rPr>
            </w:pPr>
            <w:r>
              <w:rPr>
                <w:b/>
                <w:iCs/>
                <w:snapToGrid w:val="0"/>
                <w:kern w:val="1"/>
              </w:rPr>
              <w:t>51</w:t>
            </w:r>
          </w:p>
        </w:tc>
        <w:tc>
          <w:tcPr>
            <w:tcW w:w="12658" w:type="dxa"/>
            <w:shd w:val="clear" w:color="auto" w:fill="E2EFD9" w:themeFill="accent6" w:themeFillTint="33"/>
          </w:tcPr>
          <w:p w14:paraId="2ABFFEFE" w14:textId="0340226B" w:rsidR="00B17B6A" w:rsidRPr="00B17B6A" w:rsidRDefault="00B17B6A" w:rsidP="00F002D0">
            <w:pPr>
              <w:pStyle w:val="Default"/>
              <w:rPr>
                <w:sz w:val="22"/>
                <w:szCs w:val="22"/>
              </w:rPr>
            </w:pPr>
            <w:r w:rsidRPr="00B17B6A">
              <w:rPr>
                <w:sz w:val="22"/>
                <w:szCs w:val="22"/>
              </w:rPr>
              <w:t xml:space="preserve">The WPEB </w:t>
            </w:r>
            <w:r w:rsidRPr="00B17B6A">
              <w:rPr>
                <w:b/>
                <w:bCs/>
                <w:sz w:val="22"/>
                <w:szCs w:val="22"/>
              </w:rPr>
              <w:t>REQUESTED</w:t>
            </w:r>
            <w:r w:rsidRPr="00B17B6A">
              <w:rPr>
                <w:sz w:val="22"/>
                <w:szCs w:val="22"/>
              </w:rPr>
              <w:t xml:space="preserve"> that the WPDCS and WGEMS note the study presented by the authors (IOTC-2024-WPEB20(AS)-14</w:t>
            </w:r>
            <w:proofErr w:type="gramStart"/>
            <w:r w:rsidRPr="00B17B6A">
              <w:rPr>
                <w:sz w:val="22"/>
                <w:szCs w:val="22"/>
              </w:rPr>
              <w:t>), and</w:t>
            </w:r>
            <w:proofErr w:type="gramEnd"/>
            <w:r w:rsidRPr="00B17B6A">
              <w:rPr>
                <w:sz w:val="22"/>
                <w:szCs w:val="22"/>
              </w:rPr>
              <w:t xml:space="preserve"> </w:t>
            </w:r>
            <w:r w:rsidRPr="00B17B6A">
              <w:rPr>
                <w:b/>
                <w:bCs/>
                <w:sz w:val="22"/>
                <w:szCs w:val="22"/>
              </w:rPr>
              <w:t>REQUESTED</w:t>
            </w:r>
            <w:r w:rsidRPr="00B17B6A">
              <w:rPr>
                <w:sz w:val="22"/>
                <w:szCs w:val="22"/>
              </w:rPr>
              <w:t xml:space="preserve"> assistance from the WGEMS for collecting information related to the current status of AI-based species identification.</w:t>
            </w:r>
          </w:p>
        </w:tc>
      </w:tr>
      <w:tr w:rsidR="00B17B6A" w:rsidRPr="00783159" w14:paraId="6C53C596" w14:textId="77777777" w:rsidTr="005600B4">
        <w:tc>
          <w:tcPr>
            <w:tcW w:w="1843" w:type="dxa"/>
            <w:shd w:val="clear" w:color="auto" w:fill="E2EFD9" w:themeFill="accent6" w:themeFillTint="33"/>
          </w:tcPr>
          <w:p w14:paraId="2B23ADF8" w14:textId="77777777" w:rsidR="00B17B6A" w:rsidRDefault="00B17B6A" w:rsidP="00B17B6A">
            <w:pPr>
              <w:jc w:val="center"/>
              <w:rPr>
                <w:rFonts w:eastAsia="Calibri"/>
                <w:b/>
                <w:bCs/>
                <w:lang w:val="en-AU" w:eastAsia="fr-FR"/>
              </w:rPr>
            </w:pPr>
          </w:p>
        </w:tc>
        <w:tc>
          <w:tcPr>
            <w:tcW w:w="709" w:type="dxa"/>
            <w:shd w:val="clear" w:color="auto" w:fill="E2EFD9" w:themeFill="accent6" w:themeFillTint="33"/>
          </w:tcPr>
          <w:p w14:paraId="12D5BEBD" w14:textId="3D75F549" w:rsidR="00B17B6A" w:rsidRDefault="00B17B6A" w:rsidP="00F002D0">
            <w:pPr>
              <w:jc w:val="center"/>
              <w:rPr>
                <w:b/>
                <w:iCs/>
                <w:snapToGrid w:val="0"/>
                <w:kern w:val="1"/>
              </w:rPr>
            </w:pPr>
            <w:r>
              <w:rPr>
                <w:b/>
                <w:iCs/>
                <w:snapToGrid w:val="0"/>
                <w:kern w:val="1"/>
              </w:rPr>
              <w:t>54</w:t>
            </w:r>
          </w:p>
        </w:tc>
        <w:tc>
          <w:tcPr>
            <w:tcW w:w="12658" w:type="dxa"/>
            <w:shd w:val="clear" w:color="auto" w:fill="E2EFD9" w:themeFill="accent6" w:themeFillTint="33"/>
          </w:tcPr>
          <w:p w14:paraId="2D03229E" w14:textId="5BB57E97" w:rsidR="00B17B6A" w:rsidRPr="00B17B6A" w:rsidRDefault="00B17B6A" w:rsidP="00F002D0">
            <w:pPr>
              <w:pStyle w:val="Default"/>
              <w:rPr>
                <w:sz w:val="22"/>
                <w:szCs w:val="22"/>
              </w:rPr>
            </w:pPr>
            <w:r w:rsidRPr="00B17B6A">
              <w:rPr>
                <w:b/>
                <w:bCs/>
                <w:sz w:val="22"/>
                <w:szCs w:val="22"/>
              </w:rPr>
              <w:t>ACKNOWLEDGING</w:t>
            </w:r>
            <w:r w:rsidRPr="00B17B6A">
              <w:rPr>
                <w:sz w:val="22"/>
                <w:szCs w:val="22"/>
              </w:rPr>
              <w:t xml:space="preserve"> that this initiative would encompass a broader scope than that addressed by the WPEB, the WPEB </w:t>
            </w:r>
            <w:r w:rsidRPr="00B17B6A">
              <w:rPr>
                <w:b/>
                <w:bCs/>
                <w:sz w:val="22"/>
                <w:szCs w:val="22"/>
              </w:rPr>
              <w:t>REQUESTED</w:t>
            </w:r>
            <w:r w:rsidRPr="00B17B6A">
              <w:rPr>
                <w:sz w:val="22"/>
                <w:szCs w:val="22"/>
              </w:rPr>
              <w:t xml:space="preserve"> the WPDCS to explore ways to establish collaboration across t-RFMOs and with other interested organizations. The goal is to compile images for developing these tools, including the formulation of Terms of Reference and a work plan for initial activities</w:t>
            </w:r>
          </w:p>
        </w:tc>
      </w:tr>
      <w:tr w:rsidR="00C92B30" w:rsidRPr="00783159" w14:paraId="6395A5B0" w14:textId="77777777" w:rsidTr="005600B4">
        <w:tc>
          <w:tcPr>
            <w:tcW w:w="1843" w:type="dxa"/>
            <w:shd w:val="clear" w:color="auto" w:fill="E2EFD9" w:themeFill="accent6" w:themeFillTint="33"/>
          </w:tcPr>
          <w:p w14:paraId="636B665D" w14:textId="77777777" w:rsidR="00C92B30" w:rsidRDefault="00C92B30" w:rsidP="00B17B6A">
            <w:pPr>
              <w:jc w:val="center"/>
              <w:rPr>
                <w:rFonts w:eastAsia="Calibri"/>
                <w:b/>
                <w:bCs/>
                <w:lang w:val="en-AU" w:eastAsia="fr-FR"/>
              </w:rPr>
            </w:pPr>
          </w:p>
        </w:tc>
        <w:tc>
          <w:tcPr>
            <w:tcW w:w="709" w:type="dxa"/>
            <w:shd w:val="clear" w:color="auto" w:fill="E2EFD9" w:themeFill="accent6" w:themeFillTint="33"/>
          </w:tcPr>
          <w:p w14:paraId="2A42DFB8" w14:textId="74DE8628" w:rsidR="00C92B30" w:rsidRDefault="00C92B30" w:rsidP="00F002D0">
            <w:pPr>
              <w:jc w:val="center"/>
              <w:rPr>
                <w:b/>
                <w:iCs/>
                <w:snapToGrid w:val="0"/>
                <w:kern w:val="1"/>
              </w:rPr>
            </w:pPr>
            <w:r>
              <w:rPr>
                <w:b/>
                <w:iCs/>
                <w:snapToGrid w:val="0"/>
                <w:kern w:val="1"/>
              </w:rPr>
              <w:t>152</w:t>
            </w:r>
          </w:p>
        </w:tc>
        <w:tc>
          <w:tcPr>
            <w:tcW w:w="12658" w:type="dxa"/>
            <w:shd w:val="clear" w:color="auto" w:fill="E2EFD9" w:themeFill="accent6" w:themeFillTint="33"/>
          </w:tcPr>
          <w:p w14:paraId="628D58D4" w14:textId="7F8B2D3D" w:rsidR="00C92B30" w:rsidRPr="00C92B30" w:rsidRDefault="00C92B30" w:rsidP="00F002D0">
            <w:pPr>
              <w:pStyle w:val="Default"/>
              <w:rPr>
                <w:sz w:val="22"/>
                <w:szCs w:val="22"/>
              </w:rPr>
            </w:pPr>
            <w:r w:rsidRPr="00C92B30">
              <w:rPr>
                <w:sz w:val="22"/>
                <w:szCs w:val="22"/>
              </w:rPr>
              <w:t xml:space="preserve">The WPEB </w:t>
            </w:r>
            <w:r w:rsidRPr="00C92B30">
              <w:rPr>
                <w:b/>
                <w:bCs/>
                <w:sz w:val="22"/>
                <w:szCs w:val="22"/>
              </w:rPr>
              <w:t>NOTED</w:t>
            </w:r>
            <w:r w:rsidRPr="00C92B30">
              <w:rPr>
                <w:sz w:val="22"/>
                <w:szCs w:val="22"/>
              </w:rPr>
              <w:t xml:space="preserve"> that mainline material is consistently being submitted by CPCs in their ROS data. The WPEB </w:t>
            </w:r>
            <w:r w:rsidRPr="00C92B30">
              <w:rPr>
                <w:b/>
                <w:bCs/>
                <w:sz w:val="22"/>
                <w:szCs w:val="22"/>
              </w:rPr>
              <w:t>NOTED</w:t>
            </w:r>
            <w:r w:rsidRPr="00C92B30">
              <w:rPr>
                <w:sz w:val="22"/>
                <w:szCs w:val="22"/>
              </w:rPr>
              <w:t xml:space="preserve"> that the ROS minimum data requirements are currently under revision by the WGEMS/WPDCS and that the current working draft review for longline vessels suggested that collecting detailed </w:t>
            </w:r>
            <w:proofErr w:type="spellStart"/>
            <w:r w:rsidRPr="00C92B30">
              <w:rPr>
                <w:sz w:val="22"/>
                <w:szCs w:val="22"/>
              </w:rPr>
              <w:t>branchline</w:t>
            </w:r>
            <w:proofErr w:type="spellEnd"/>
            <w:r w:rsidRPr="00C92B30">
              <w:rPr>
                <w:sz w:val="22"/>
                <w:szCs w:val="22"/>
              </w:rPr>
              <w:t xml:space="preserve"> configuration information should be “mandatory” at the trip level, however, </w:t>
            </w:r>
            <w:proofErr w:type="spellStart"/>
            <w:r w:rsidRPr="00C92B30">
              <w:rPr>
                <w:sz w:val="22"/>
                <w:szCs w:val="22"/>
              </w:rPr>
              <w:t>branchline</w:t>
            </w:r>
            <w:proofErr w:type="spellEnd"/>
            <w:r w:rsidRPr="00C92B30">
              <w:rPr>
                <w:sz w:val="22"/>
                <w:szCs w:val="22"/>
              </w:rPr>
              <w:t xml:space="preserve"> materials and leader materials for catches of sensitive species should be “mandatory” but this should include the possibility to record this information as “unknown” due to the practical difficulties of collecting this information both by onboard human observers and by EMS. The WPEB further </w:t>
            </w:r>
            <w:r w:rsidRPr="00C92B30">
              <w:rPr>
                <w:b/>
                <w:bCs/>
                <w:sz w:val="22"/>
                <w:szCs w:val="22"/>
              </w:rPr>
              <w:t>NOTED</w:t>
            </w:r>
            <w:r w:rsidRPr="00C92B30">
              <w:rPr>
                <w:sz w:val="22"/>
                <w:szCs w:val="22"/>
              </w:rPr>
              <w:t xml:space="preserve"> that collecting data on leader material for each fishing set as part of the ROS remains “optional” and includes the possibility of recording this information as “unknown” due to the practical difficulties of collecting this information both by onboard human observers and by EMS. The WPEB </w:t>
            </w:r>
            <w:r w:rsidRPr="00C92B30">
              <w:rPr>
                <w:b/>
                <w:bCs/>
                <w:sz w:val="22"/>
                <w:szCs w:val="22"/>
              </w:rPr>
              <w:t>NOTED</w:t>
            </w:r>
            <w:r w:rsidRPr="00C92B30">
              <w:rPr>
                <w:sz w:val="22"/>
                <w:szCs w:val="22"/>
              </w:rPr>
              <w:t xml:space="preserve"> that these points will be further discussed at the WPDCS and the WPEB </w:t>
            </w:r>
            <w:r w:rsidRPr="00C92B30">
              <w:rPr>
                <w:b/>
                <w:bCs/>
                <w:sz w:val="22"/>
                <w:szCs w:val="22"/>
              </w:rPr>
              <w:t>REQUESTED</w:t>
            </w:r>
            <w:r w:rsidRPr="00C92B30">
              <w:rPr>
                <w:sz w:val="22"/>
                <w:szCs w:val="22"/>
              </w:rPr>
              <w:t xml:space="preserve"> that the WPDCS consider these recommendations in their discussions.</w:t>
            </w:r>
          </w:p>
        </w:tc>
      </w:tr>
      <w:tr w:rsidR="00C92B30" w:rsidRPr="00783159" w14:paraId="75555785" w14:textId="77777777" w:rsidTr="005600B4">
        <w:tc>
          <w:tcPr>
            <w:tcW w:w="1843" w:type="dxa"/>
            <w:shd w:val="clear" w:color="auto" w:fill="E2EFD9" w:themeFill="accent6" w:themeFillTint="33"/>
          </w:tcPr>
          <w:p w14:paraId="02770C6A" w14:textId="77777777" w:rsidR="00C92B30" w:rsidRDefault="00C92B30" w:rsidP="00B17B6A">
            <w:pPr>
              <w:jc w:val="center"/>
              <w:rPr>
                <w:rFonts w:eastAsia="Calibri"/>
                <w:b/>
                <w:bCs/>
                <w:lang w:val="en-AU" w:eastAsia="fr-FR"/>
              </w:rPr>
            </w:pPr>
          </w:p>
        </w:tc>
        <w:tc>
          <w:tcPr>
            <w:tcW w:w="709" w:type="dxa"/>
            <w:shd w:val="clear" w:color="auto" w:fill="E2EFD9" w:themeFill="accent6" w:themeFillTint="33"/>
          </w:tcPr>
          <w:p w14:paraId="2C23DFA1" w14:textId="7CFE4DE7" w:rsidR="00C92B30" w:rsidRDefault="00C92B30" w:rsidP="00F002D0">
            <w:pPr>
              <w:jc w:val="center"/>
              <w:rPr>
                <w:b/>
                <w:iCs/>
                <w:snapToGrid w:val="0"/>
                <w:kern w:val="1"/>
              </w:rPr>
            </w:pPr>
            <w:r>
              <w:rPr>
                <w:b/>
                <w:iCs/>
                <w:snapToGrid w:val="0"/>
                <w:kern w:val="1"/>
              </w:rPr>
              <w:t>162</w:t>
            </w:r>
          </w:p>
        </w:tc>
        <w:tc>
          <w:tcPr>
            <w:tcW w:w="12658" w:type="dxa"/>
            <w:shd w:val="clear" w:color="auto" w:fill="E2EFD9" w:themeFill="accent6" w:themeFillTint="33"/>
          </w:tcPr>
          <w:p w14:paraId="7746E1E7" w14:textId="67F7E09A" w:rsidR="00C92B30" w:rsidRPr="00C92B30" w:rsidRDefault="00C92B30" w:rsidP="00F002D0">
            <w:pPr>
              <w:pStyle w:val="Default"/>
              <w:rPr>
                <w:sz w:val="22"/>
                <w:szCs w:val="22"/>
              </w:rPr>
            </w:pPr>
            <w:r w:rsidRPr="00C92B30">
              <w:rPr>
                <w:sz w:val="22"/>
                <w:szCs w:val="22"/>
              </w:rPr>
              <w:t xml:space="preserve">The WPEB </w:t>
            </w:r>
            <w:r w:rsidRPr="00C92B30">
              <w:rPr>
                <w:b/>
                <w:bCs/>
                <w:sz w:val="22"/>
                <w:szCs w:val="22"/>
              </w:rPr>
              <w:t>REQUESTED</w:t>
            </w:r>
            <w:r w:rsidRPr="00C92B30">
              <w:rPr>
                <w:sz w:val="22"/>
                <w:szCs w:val="22"/>
              </w:rPr>
              <w:t xml:space="preserve"> the WPDCS to examine the online digital atlas project to receive additional feedback to what has been expressed by the WPEB, </w:t>
            </w:r>
            <w:proofErr w:type="gramStart"/>
            <w:r w:rsidRPr="00C92B30">
              <w:rPr>
                <w:sz w:val="22"/>
                <w:szCs w:val="22"/>
              </w:rPr>
              <w:t>in order to</w:t>
            </w:r>
            <w:proofErr w:type="gramEnd"/>
            <w:r w:rsidRPr="00C92B30">
              <w:rPr>
                <w:sz w:val="22"/>
                <w:szCs w:val="22"/>
              </w:rPr>
              <w:t xml:space="preserve"> design a consolidated project to be presented at SC27.</w:t>
            </w:r>
          </w:p>
        </w:tc>
      </w:tr>
      <w:tr w:rsidR="00F002D0" w:rsidRPr="00783159" w14:paraId="38A8E51E" w14:textId="77777777" w:rsidTr="005600B4">
        <w:tc>
          <w:tcPr>
            <w:tcW w:w="1843" w:type="dxa"/>
            <w:shd w:val="clear" w:color="auto" w:fill="E2EFD9" w:themeFill="accent6" w:themeFillTint="33"/>
          </w:tcPr>
          <w:p w14:paraId="42724547" w14:textId="06167B77" w:rsidR="00F002D0" w:rsidRDefault="00F002D0" w:rsidP="00F002D0">
            <w:pPr>
              <w:jc w:val="center"/>
              <w:rPr>
                <w:rFonts w:eastAsia="Calibri"/>
                <w:b/>
                <w:bCs/>
                <w:lang w:val="en-AU" w:eastAsia="fr-FR"/>
              </w:rPr>
            </w:pPr>
            <w:r>
              <w:rPr>
                <w:rFonts w:eastAsia="Calibri"/>
                <w:b/>
                <w:bCs/>
                <w:lang w:val="en-AU" w:eastAsia="fr-FR"/>
              </w:rPr>
              <w:t>WPTT2</w:t>
            </w:r>
            <w:r w:rsidR="006917E5">
              <w:rPr>
                <w:rFonts w:eastAsia="Calibri"/>
                <w:b/>
                <w:bCs/>
                <w:lang w:val="en-AU" w:eastAsia="fr-FR"/>
              </w:rPr>
              <w:t>6</w:t>
            </w:r>
          </w:p>
          <w:p w14:paraId="13AE5327" w14:textId="226C31DC" w:rsidR="00F002D0" w:rsidRDefault="00F002D0" w:rsidP="00F002D0">
            <w:pPr>
              <w:jc w:val="center"/>
              <w:rPr>
                <w:rFonts w:eastAsia="Calibri"/>
                <w:b/>
                <w:bCs/>
                <w:lang w:val="en-AU" w:eastAsia="fr-FR"/>
              </w:rPr>
            </w:pPr>
            <w:r>
              <w:rPr>
                <w:rFonts w:eastAsia="Calibri"/>
                <w:b/>
                <w:bCs/>
                <w:lang w:val="en-AU" w:eastAsia="fr-FR"/>
              </w:rPr>
              <w:t>(October 202</w:t>
            </w:r>
            <w:r w:rsidR="006917E5">
              <w:rPr>
                <w:rFonts w:eastAsia="Calibri"/>
                <w:b/>
                <w:bCs/>
                <w:lang w:val="en-AU" w:eastAsia="fr-FR"/>
              </w:rPr>
              <w:t>4</w:t>
            </w:r>
            <w:r>
              <w:rPr>
                <w:rFonts w:eastAsia="Calibri"/>
                <w:b/>
                <w:bCs/>
                <w:lang w:val="en-AU" w:eastAsia="fr-FR"/>
              </w:rPr>
              <w:t>)</w:t>
            </w:r>
          </w:p>
          <w:p w14:paraId="34D88EB5" w14:textId="3910B59C" w:rsidR="00F002D0" w:rsidRDefault="00F002D0" w:rsidP="00F002D0">
            <w:pPr>
              <w:jc w:val="center"/>
              <w:rPr>
                <w:rFonts w:eastAsia="Calibri"/>
                <w:b/>
                <w:bCs/>
                <w:lang w:val="en-AU" w:eastAsia="fr-FR"/>
              </w:rPr>
            </w:pPr>
            <w:r>
              <w:rPr>
                <w:rFonts w:eastAsia="Calibri"/>
                <w:b/>
                <w:bCs/>
                <w:lang w:val="en-AU" w:eastAsia="fr-FR"/>
              </w:rPr>
              <w:t>[Report not adopted</w:t>
            </w:r>
            <w:r w:rsidR="00FC7368">
              <w:rPr>
                <w:rFonts w:eastAsia="Calibri"/>
                <w:b/>
                <w:bCs/>
                <w:lang w:val="en-AU" w:eastAsia="fr-FR"/>
              </w:rPr>
              <w:t xml:space="preserve"> yet</w:t>
            </w:r>
            <w:r>
              <w:rPr>
                <w:rFonts w:eastAsia="Calibri"/>
                <w:b/>
                <w:bCs/>
                <w:lang w:val="en-AU" w:eastAsia="fr-FR"/>
              </w:rPr>
              <w:t>]</w:t>
            </w:r>
          </w:p>
        </w:tc>
        <w:tc>
          <w:tcPr>
            <w:tcW w:w="709" w:type="dxa"/>
            <w:shd w:val="clear" w:color="auto" w:fill="E2EFD9" w:themeFill="accent6" w:themeFillTint="33"/>
          </w:tcPr>
          <w:p w14:paraId="72E78E64" w14:textId="4896D3B0" w:rsidR="00F002D0" w:rsidRDefault="00F002D0" w:rsidP="00F002D0">
            <w:pPr>
              <w:jc w:val="center"/>
              <w:rPr>
                <w:b/>
                <w:iCs/>
                <w:snapToGrid w:val="0"/>
                <w:kern w:val="1"/>
              </w:rPr>
            </w:pPr>
            <w:r w:rsidRPr="00A54594">
              <w:rPr>
                <w:b/>
                <w:iCs/>
                <w:snapToGrid w:val="0"/>
                <w:kern w:val="1"/>
              </w:rPr>
              <w:t>7</w:t>
            </w:r>
            <w:r w:rsidR="00BE7E48">
              <w:rPr>
                <w:b/>
                <w:iCs/>
                <w:snapToGrid w:val="0"/>
                <w:kern w:val="1"/>
              </w:rPr>
              <w:t>8</w:t>
            </w:r>
          </w:p>
        </w:tc>
        <w:tc>
          <w:tcPr>
            <w:tcW w:w="12658" w:type="dxa"/>
            <w:shd w:val="clear" w:color="auto" w:fill="E2EFD9" w:themeFill="accent6" w:themeFillTint="33"/>
          </w:tcPr>
          <w:p w14:paraId="384E8DF6" w14:textId="4E1484E2" w:rsidR="00F002D0" w:rsidRPr="00586C99" w:rsidRDefault="00A54594" w:rsidP="00F002D0">
            <w:pPr>
              <w:pStyle w:val="Default"/>
              <w:rPr>
                <w:sz w:val="22"/>
                <w:szCs w:val="22"/>
              </w:rPr>
            </w:pPr>
            <w:r w:rsidRPr="00A54594">
              <w:rPr>
                <w:sz w:val="22"/>
                <w:szCs w:val="22"/>
              </w:rPr>
              <w:t xml:space="preserve">The WPTT discussed the possibility of imposing a unit of effort for the different fishing gears </w:t>
            </w:r>
            <w:proofErr w:type="gramStart"/>
            <w:r w:rsidRPr="00A54594">
              <w:rPr>
                <w:sz w:val="22"/>
                <w:szCs w:val="22"/>
              </w:rPr>
              <w:t>in order to</w:t>
            </w:r>
            <w:proofErr w:type="gramEnd"/>
            <w:r w:rsidRPr="00A54594">
              <w:rPr>
                <w:sz w:val="22"/>
                <w:szCs w:val="22"/>
              </w:rPr>
              <w:t xml:space="preserve"> accurately standardize CPUE. The WPTT QUERIED whether the information on the number of crew or days at sea has been collected to calculate appropriate effort indices. The WPTT NOTED that logbooks contain some information on the number of hooks or crew that could be used to correct for this. The WPTT further NOTED that logbook data also include the number of poles. The WPTT AGREED that consistent reporting of pole and line effort for a long time and the issue of effort units should be further discussed at the WPDCS.</w:t>
            </w:r>
          </w:p>
        </w:tc>
      </w:tr>
    </w:tbl>
    <w:p w14:paraId="0E775CB8" w14:textId="77777777" w:rsidR="000C3CA4" w:rsidRPr="002066EF" w:rsidRDefault="000C3CA4" w:rsidP="00647A7F"/>
    <w:p w14:paraId="1EFE99C4" w14:textId="4DB23854" w:rsidR="00BB21F4" w:rsidRPr="002066EF" w:rsidRDefault="00BB21F4">
      <w:pPr>
        <w:jc w:val="left"/>
      </w:pPr>
    </w:p>
    <w:sectPr w:rsidR="00BB21F4" w:rsidRPr="002066EF" w:rsidSect="00066045">
      <w:headerReference w:type="first" r:id="rId12"/>
      <w:pgSz w:w="16838" w:h="11906" w:orient="landscape"/>
      <w:pgMar w:top="709" w:right="678" w:bottom="707" w:left="709" w:header="283"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3D5651" w14:textId="77777777" w:rsidR="00FC1598" w:rsidRDefault="00FC1598" w:rsidP="007A2B9A">
      <w:r>
        <w:separator/>
      </w:r>
    </w:p>
  </w:endnote>
  <w:endnote w:type="continuationSeparator" w:id="0">
    <w:p w14:paraId="0BB5D902" w14:textId="77777777" w:rsidR="00FC1598" w:rsidRDefault="00FC1598" w:rsidP="007A2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Times New Roman Bold">
    <w:altName w:val="Times New Roman"/>
    <w:panose1 w:val="02020803070505020304"/>
    <w:charset w:val="00"/>
    <w:family w:val="auto"/>
    <w:pitch w:val="variable"/>
    <w:sig w:usb0="E0002AE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9813249"/>
      <w:docPartObj>
        <w:docPartGallery w:val="Page Numbers (Bottom of Page)"/>
        <w:docPartUnique/>
      </w:docPartObj>
    </w:sdtPr>
    <w:sdtEndPr>
      <w:rPr>
        <w:noProof/>
      </w:rPr>
    </w:sdtEndPr>
    <w:sdtContent>
      <w:p w14:paraId="5CE7CC0A" w14:textId="77777777" w:rsidR="007A2B9A" w:rsidRDefault="007A2B9A" w:rsidP="007A2B9A">
        <w:pPr>
          <w:pStyle w:val="Footer"/>
          <w:pBdr>
            <w:top w:val="single" w:sz="4" w:space="1" w:color="auto"/>
          </w:pBdr>
          <w:spacing w:before="240"/>
          <w:jc w:val="center"/>
        </w:pPr>
        <w:r>
          <w:t xml:space="preserve">Page </w:t>
        </w:r>
        <w:r w:rsidRPr="007A2B9A">
          <w:rPr>
            <w:b/>
            <w:bCs/>
          </w:rPr>
          <w:fldChar w:fldCharType="begin"/>
        </w:r>
        <w:r w:rsidRPr="007A2B9A">
          <w:rPr>
            <w:b/>
            <w:bCs/>
          </w:rPr>
          <w:instrText xml:space="preserve"> PAGE   \* MERGEFORMAT </w:instrText>
        </w:r>
        <w:r w:rsidRPr="007A2B9A">
          <w:rPr>
            <w:b/>
            <w:bCs/>
          </w:rPr>
          <w:fldChar w:fldCharType="separate"/>
        </w:r>
        <w:r w:rsidRPr="007A2B9A">
          <w:rPr>
            <w:b/>
            <w:bCs/>
            <w:noProof/>
          </w:rPr>
          <w:t>2</w:t>
        </w:r>
        <w:r w:rsidRPr="007A2B9A">
          <w:rPr>
            <w:b/>
            <w:bCs/>
            <w:noProof/>
          </w:rPr>
          <w:fldChar w:fldCharType="end"/>
        </w:r>
        <w:r w:rsidRPr="007A2B9A">
          <w:rPr>
            <w:b/>
            <w:bCs/>
            <w:noProof/>
          </w:rPr>
          <w:t xml:space="preserve"> </w:t>
        </w:r>
        <w:r>
          <w:rPr>
            <w:noProof/>
          </w:rPr>
          <w:t xml:space="preserve">of </w:t>
        </w:r>
        <w:r w:rsidRPr="007A2B9A">
          <w:rPr>
            <w:b/>
            <w:bCs/>
            <w:noProof/>
          </w:rPr>
          <w:fldChar w:fldCharType="begin"/>
        </w:r>
        <w:r w:rsidRPr="007A2B9A">
          <w:rPr>
            <w:b/>
            <w:bCs/>
            <w:noProof/>
          </w:rPr>
          <w:instrText xml:space="preserve"> NUMPAGES   \* MERGEFORMAT </w:instrText>
        </w:r>
        <w:r w:rsidRPr="007A2B9A">
          <w:rPr>
            <w:b/>
            <w:bCs/>
            <w:noProof/>
          </w:rPr>
          <w:fldChar w:fldCharType="separate"/>
        </w:r>
        <w:r w:rsidRPr="007A2B9A">
          <w:rPr>
            <w:b/>
            <w:bCs/>
            <w:noProof/>
          </w:rPr>
          <w:t>1</w:t>
        </w:r>
        <w:r w:rsidRPr="007A2B9A">
          <w:rPr>
            <w:b/>
            <w:bCs/>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4463997"/>
      <w:docPartObj>
        <w:docPartGallery w:val="Page Numbers (Bottom of Page)"/>
        <w:docPartUnique/>
      </w:docPartObj>
    </w:sdtPr>
    <w:sdtEndPr>
      <w:rPr>
        <w:noProof/>
      </w:rPr>
    </w:sdtEndPr>
    <w:sdtContent>
      <w:p w14:paraId="3514572B" w14:textId="77777777" w:rsidR="00AB3CC8" w:rsidRDefault="00AB3CC8" w:rsidP="00AB3CC8">
        <w:pPr>
          <w:pStyle w:val="Footer"/>
          <w:pBdr>
            <w:top w:val="single" w:sz="4" w:space="1" w:color="auto"/>
          </w:pBdr>
          <w:spacing w:before="240"/>
          <w:jc w:val="center"/>
        </w:pPr>
        <w:r>
          <w:t xml:space="preserve">Page </w:t>
        </w:r>
        <w:r w:rsidRPr="007A2B9A">
          <w:rPr>
            <w:b/>
            <w:bCs/>
          </w:rPr>
          <w:fldChar w:fldCharType="begin"/>
        </w:r>
        <w:r w:rsidRPr="007A2B9A">
          <w:rPr>
            <w:b/>
            <w:bCs/>
          </w:rPr>
          <w:instrText xml:space="preserve"> PAGE   \* MERGEFORMAT </w:instrText>
        </w:r>
        <w:r w:rsidRPr="007A2B9A">
          <w:rPr>
            <w:b/>
            <w:bCs/>
          </w:rPr>
          <w:fldChar w:fldCharType="separate"/>
        </w:r>
        <w:r>
          <w:rPr>
            <w:b/>
            <w:bCs/>
          </w:rPr>
          <w:t>2</w:t>
        </w:r>
        <w:r w:rsidRPr="007A2B9A">
          <w:rPr>
            <w:b/>
            <w:bCs/>
            <w:noProof/>
          </w:rPr>
          <w:fldChar w:fldCharType="end"/>
        </w:r>
        <w:r w:rsidRPr="007A2B9A">
          <w:rPr>
            <w:b/>
            <w:bCs/>
            <w:noProof/>
          </w:rPr>
          <w:t xml:space="preserve"> </w:t>
        </w:r>
        <w:r>
          <w:rPr>
            <w:noProof/>
          </w:rPr>
          <w:t xml:space="preserve">of </w:t>
        </w:r>
        <w:r w:rsidRPr="007A2B9A">
          <w:rPr>
            <w:b/>
            <w:bCs/>
            <w:noProof/>
          </w:rPr>
          <w:fldChar w:fldCharType="begin"/>
        </w:r>
        <w:r w:rsidRPr="007A2B9A">
          <w:rPr>
            <w:b/>
            <w:bCs/>
            <w:noProof/>
          </w:rPr>
          <w:instrText xml:space="preserve"> NUMPAGES   \* MERGEFORMAT </w:instrText>
        </w:r>
        <w:r w:rsidRPr="007A2B9A">
          <w:rPr>
            <w:b/>
            <w:bCs/>
            <w:noProof/>
          </w:rPr>
          <w:fldChar w:fldCharType="separate"/>
        </w:r>
        <w:r>
          <w:rPr>
            <w:b/>
            <w:bCs/>
            <w:noProof/>
          </w:rPr>
          <w:t>2</w:t>
        </w:r>
        <w:r w:rsidRPr="007A2B9A">
          <w:rPr>
            <w:b/>
            <w:bCs/>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1D4439" w14:textId="77777777" w:rsidR="00FC1598" w:rsidRDefault="00FC1598" w:rsidP="007A2B9A">
      <w:r>
        <w:separator/>
      </w:r>
    </w:p>
  </w:footnote>
  <w:footnote w:type="continuationSeparator" w:id="0">
    <w:p w14:paraId="080A6EC0" w14:textId="77777777" w:rsidR="00FC1598" w:rsidRDefault="00FC1598" w:rsidP="007A2B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79959" w14:textId="4117AC38" w:rsidR="007A2B9A" w:rsidRPr="007A2B9A" w:rsidRDefault="00647A7F" w:rsidP="007A2B9A">
    <w:pPr>
      <w:pStyle w:val="Documentreference"/>
    </w:pPr>
    <w:r w:rsidRPr="007A2B9A">
      <w:t>IOTC-20</w:t>
    </w:r>
    <w:r>
      <w:t>2</w:t>
    </w:r>
    <w:r w:rsidR="00BA4680">
      <w:t>3</w:t>
    </w:r>
    <w:r w:rsidRPr="007A2B9A">
      <w:t>-WP</w:t>
    </w:r>
    <w:r>
      <w:t>DCS1</w:t>
    </w:r>
    <w:r w:rsidR="00BA4680">
      <w:t>9</w:t>
    </w:r>
    <w:r w:rsidRPr="007A2B9A">
      <w:t>-</w:t>
    </w:r>
    <w:r w:rsidR="00BA4680">
      <w:t>12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08DC5F" w14:textId="59F8851D" w:rsidR="007A2B9A" w:rsidRPr="007A2B9A" w:rsidRDefault="007A2B9A" w:rsidP="00647A7F">
    <w:pPr>
      <w:pStyle w:val="Documentreference"/>
    </w:pPr>
    <w:r w:rsidRPr="007A2B9A">
      <w:drawing>
        <wp:inline distT="0" distB="0" distL="0" distR="0" wp14:anchorId="2C035441" wp14:editId="16C3FCE2">
          <wp:extent cx="6569534" cy="6477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OTC Letterhead.png"/>
                  <pic:cNvPicPr/>
                </pic:nvPicPr>
                <pic:blipFill>
                  <a:blip r:embed="rId1">
                    <a:extLst>
                      <a:ext uri="{28A0092B-C50C-407E-A947-70E740481C1C}">
                        <a14:useLocalDpi xmlns:a14="http://schemas.microsoft.com/office/drawing/2010/main" val="0"/>
                      </a:ext>
                    </a:extLst>
                  </a:blip>
                  <a:stretch>
                    <a:fillRect/>
                  </a:stretch>
                </pic:blipFill>
                <pic:spPr>
                  <a:xfrm>
                    <a:off x="0" y="0"/>
                    <a:ext cx="6569534" cy="647700"/>
                  </a:xfrm>
                  <a:prstGeom prst="rect">
                    <a:avLst/>
                  </a:prstGeom>
                </pic:spPr>
              </pic:pic>
            </a:graphicData>
          </a:graphic>
        </wp:inline>
      </w:drawing>
    </w:r>
    <w:r w:rsidRPr="007A2B9A">
      <w:t>IOTC-20</w:t>
    </w:r>
    <w:r w:rsidR="006B1F40">
      <w:t>2</w:t>
    </w:r>
    <w:r w:rsidR="00856B77">
      <w:t>4</w:t>
    </w:r>
    <w:r w:rsidRPr="007A2B9A">
      <w:t>-WP</w:t>
    </w:r>
    <w:r w:rsidR="006B1F40">
      <w:t>DCS</w:t>
    </w:r>
    <w:r w:rsidR="00856B77">
      <w:t>20</w:t>
    </w:r>
    <w:r w:rsidRPr="007A2B9A">
      <w:t>-</w:t>
    </w:r>
    <w:r w:rsidR="00713905">
      <w:t>12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638FEF" w14:textId="7546FA91" w:rsidR="00647A7F" w:rsidRPr="007A2B9A" w:rsidRDefault="00647A7F" w:rsidP="00647A7F">
    <w:pPr>
      <w:pStyle w:val="Documentreference"/>
    </w:pPr>
    <w:r w:rsidRPr="007A2B9A">
      <w:t xml:space="preserve"> IOTC-20</w:t>
    </w:r>
    <w:r>
      <w:t>2</w:t>
    </w:r>
    <w:r w:rsidR="00856B77">
      <w:t>4</w:t>
    </w:r>
    <w:r w:rsidRPr="007A2B9A">
      <w:t>-WP</w:t>
    </w:r>
    <w:r>
      <w:t>DCS</w:t>
    </w:r>
    <w:r w:rsidR="00856B77">
      <w:t>20</w:t>
    </w:r>
    <w:r w:rsidRPr="007A2B9A">
      <w:t>-</w:t>
    </w:r>
    <w:r w:rsidR="00391368">
      <w:t>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D89181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930EE2"/>
    <w:multiLevelType w:val="hybridMultilevel"/>
    <w:tmpl w:val="6D061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43749D"/>
    <w:multiLevelType w:val="multilevel"/>
    <w:tmpl w:val="3E26ADCC"/>
    <w:lvl w:ilvl="0">
      <w:start w:val="1"/>
      <w:numFmt w:val="decimal"/>
      <w:lvlText w:val="%1."/>
      <w:lvlJc w:val="left"/>
      <w:pPr>
        <w:ind w:left="567" w:hanging="567"/>
      </w:pPr>
      <w:rPr>
        <w:rFonts w:ascii="Calibri" w:eastAsia="Calibri" w:hAnsi="Calibri" w:cs="Calibri" w:hint="default"/>
        <w:b w:val="0"/>
        <w:i w:val="0"/>
        <w:smallCaps w:val="0"/>
        <w:strike w:val="0"/>
        <w:sz w:val="22"/>
        <w:szCs w:val="22"/>
        <w:u w:val="none"/>
        <w:vertAlign w:val="baseline"/>
      </w:rPr>
    </w:lvl>
    <w:lvl w:ilvl="1">
      <w:start w:val="1"/>
      <w:numFmt w:val="lowerLetter"/>
      <w:lvlText w:val="%2."/>
      <w:lvlJc w:val="left"/>
      <w:pPr>
        <w:ind w:left="1361" w:hanging="284"/>
      </w:pPr>
      <w:rPr>
        <w:rFonts w:hint="default"/>
      </w:rPr>
    </w:lvl>
    <w:lvl w:ilvl="2">
      <w:start w:val="1"/>
      <w:numFmt w:val="lowerRoman"/>
      <w:lvlText w:val="%3."/>
      <w:lvlJc w:val="right"/>
      <w:pPr>
        <w:ind w:left="2438" w:hanging="284"/>
      </w:pPr>
      <w:rPr>
        <w:rFonts w:hint="default"/>
      </w:rPr>
    </w:lvl>
    <w:lvl w:ilvl="3">
      <w:start w:val="1"/>
      <w:numFmt w:val="decimal"/>
      <w:lvlText w:val="%4."/>
      <w:lvlJc w:val="left"/>
      <w:pPr>
        <w:ind w:left="3515" w:hanging="284"/>
      </w:pPr>
      <w:rPr>
        <w:rFonts w:hint="default"/>
      </w:rPr>
    </w:lvl>
    <w:lvl w:ilvl="4">
      <w:start w:val="1"/>
      <w:numFmt w:val="lowerLetter"/>
      <w:lvlText w:val="%5."/>
      <w:lvlJc w:val="left"/>
      <w:pPr>
        <w:ind w:left="4592" w:hanging="284"/>
      </w:pPr>
      <w:rPr>
        <w:rFonts w:hint="default"/>
      </w:rPr>
    </w:lvl>
    <w:lvl w:ilvl="5">
      <w:start w:val="1"/>
      <w:numFmt w:val="lowerRoman"/>
      <w:lvlText w:val="%6."/>
      <w:lvlJc w:val="right"/>
      <w:pPr>
        <w:ind w:left="5669" w:hanging="284"/>
      </w:pPr>
      <w:rPr>
        <w:rFonts w:hint="default"/>
      </w:rPr>
    </w:lvl>
    <w:lvl w:ilvl="6">
      <w:start w:val="1"/>
      <w:numFmt w:val="decimal"/>
      <w:lvlText w:val="%7."/>
      <w:lvlJc w:val="left"/>
      <w:pPr>
        <w:ind w:left="6746" w:hanging="284"/>
      </w:pPr>
      <w:rPr>
        <w:rFonts w:hint="default"/>
      </w:rPr>
    </w:lvl>
    <w:lvl w:ilvl="7">
      <w:start w:val="1"/>
      <w:numFmt w:val="lowerLetter"/>
      <w:lvlText w:val="%8."/>
      <w:lvlJc w:val="left"/>
      <w:pPr>
        <w:ind w:left="7823" w:hanging="284"/>
      </w:pPr>
      <w:rPr>
        <w:rFonts w:hint="default"/>
      </w:rPr>
    </w:lvl>
    <w:lvl w:ilvl="8">
      <w:start w:val="1"/>
      <w:numFmt w:val="lowerRoman"/>
      <w:lvlText w:val="%9."/>
      <w:lvlJc w:val="right"/>
      <w:pPr>
        <w:ind w:left="8900" w:hanging="284"/>
      </w:pPr>
      <w:rPr>
        <w:rFonts w:hint="default"/>
      </w:rPr>
    </w:lvl>
  </w:abstractNum>
  <w:abstractNum w:abstractNumId="3" w15:restartNumberingAfterBreak="0">
    <w:nsid w:val="1CE65EAA"/>
    <w:multiLevelType w:val="hybridMultilevel"/>
    <w:tmpl w:val="E13C566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E63FBF"/>
    <w:multiLevelType w:val="hybridMultilevel"/>
    <w:tmpl w:val="68924A50"/>
    <w:lvl w:ilvl="0" w:tplc="A13AA8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0D65ED"/>
    <w:multiLevelType w:val="multilevel"/>
    <w:tmpl w:val="D78E2540"/>
    <w:lvl w:ilvl="0">
      <w:start w:val="1"/>
      <w:numFmt w:val="decimal"/>
      <w:pStyle w:val="IOTCAgendaH1"/>
      <w:lvlText w:val="%1."/>
      <w:lvlJc w:val="left"/>
      <w:pPr>
        <w:ind w:left="360" w:hanging="360"/>
      </w:pPr>
      <w:rPr>
        <w:rFonts w:hint="default"/>
      </w:rPr>
    </w:lvl>
    <w:lvl w:ilvl="1">
      <w:start w:val="1"/>
      <w:numFmt w:val="decimal"/>
      <w:isLgl/>
      <w:lvlText w:val="%1.%2"/>
      <w:lvlJc w:val="left"/>
      <w:pPr>
        <w:ind w:left="1500" w:hanging="1050"/>
      </w:pPr>
      <w:rPr>
        <w:rFonts w:hint="default"/>
        <w:b/>
        <w:i/>
        <w:color w:val="000000"/>
        <w:sz w:val="22"/>
        <w:szCs w:val="22"/>
      </w:rPr>
    </w:lvl>
    <w:lvl w:ilvl="2">
      <w:start w:val="1"/>
      <w:numFmt w:val="decimal"/>
      <w:isLgl/>
      <w:lvlText w:val="%1.%2.%3"/>
      <w:lvlJc w:val="left"/>
      <w:pPr>
        <w:ind w:left="1950" w:hanging="1050"/>
      </w:pPr>
      <w:rPr>
        <w:rFonts w:hint="default"/>
        <w:b/>
        <w:color w:val="000000"/>
        <w:sz w:val="22"/>
      </w:rPr>
    </w:lvl>
    <w:lvl w:ilvl="3">
      <w:start w:val="1"/>
      <w:numFmt w:val="decimal"/>
      <w:isLgl/>
      <w:lvlText w:val="%1.%2.%3.%4"/>
      <w:lvlJc w:val="left"/>
      <w:pPr>
        <w:ind w:left="2400" w:hanging="105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330" w:hanging="108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590" w:hanging="1440"/>
      </w:pPr>
      <w:rPr>
        <w:rFonts w:hint="default"/>
      </w:rPr>
    </w:lvl>
    <w:lvl w:ilvl="8">
      <w:start w:val="1"/>
      <w:numFmt w:val="decimal"/>
      <w:isLgl/>
      <w:lvlText w:val="%1.%2.%3.%4.%5.%6.%7.%8.%9"/>
      <w:lvlJc w:val="left"/>
      <w:pPr>
        <w:ind w:left="5040" w:hanging="1440"/>
      </w:pPr>
      <w:rPr>
        <w:rFonts w:hint="default"/>
      </w:rPr>
    </w:lvl>
  </w:abstractNum>
  <w:abstractNum w:abstractNumId="6" w15:restartNumberingAfterBreak="0">
    <w:nsid w:val="3E033A30"/>
    <w:multiLevelType w:val="hybridMultilevel"/>
    <w:tmpl w:val="B4489E3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84C5602"/>
    <w:multiLevelType w:val="hybridMultilevel"/>
    <w:tmpl w:val="A7AC1C20"/>
    <w:lvl w:ilvl="0" w:tplc="8152A392">
      <w:start w:val="1"/>
      <w:numFmt w:val="lowerLetter"/>
      <w:lvlText w:val="%1)"/>
      <w:lvlJc w:val="left"/>
      <w:pPr>
        <w:ind w:left="810" w:hanging="360"/>
      </w:pPr>
      <w:rPr>
        <w:rFonts w:hint="default"/>
      </w:rPr>
    </w:lvl>
    <w:lvl w:ilvl="1" w:tplc="0C090019" w:tentative="1">
      <w:start w:val="1"/>
      <w:numFmt w:val="lowerLetter"/>
      <w:lvlText w:val="%2."/>
      <w:lvlJc w:val="left"/>
      <w:pPr>
        <w:ind w:left="1530" w:hanging="360"/>
      </w:pPr>
    </w:lvl>
    <w:lvl w:ilvl="2" w:tplc="0C09001B" w:tentative="1">
      <w:start w:val="1"/>
      <w:numFmt w:val="lowerRoman"/>
      <w:lvlText w:val="%3."/>
      <w:lvlJc w:val="right"/>
      <w:pPr>
        <w:ind w:left="2250" w:hanging="180"/>
      </w:pPr>
    </w:lvl>
    <w:lvl w:ilvl="3" w:tplc="0C09000F" w:tentative="1">
      <w:start w:val="1"/>
      <w:numFmt w:val="decimal"/>
      <w:lvlText w:val="%4."/>
      <w:lvlJc w:val="left"/>
      <w:pPr>
        <w:ind w:left="2970" w:hanging="360"/>
      </w:pPr>
    </w:lvl>
    <w:lvl w:ilvl="4" w:tplc="0C090019" w:tentative="1">
      <w:start w:val="1"/>
      <w:numFmt w:val="lowerLetter"/>
      <w:lvlText w:val="%5."/>
      <w:lvlJc w:val="left"/>
      <w:pPr>
        <w:ind w:left="3690" w:hanging="360"/>
      </w:pPr>
    </w:lvl>
    <w:lvl w:ilvl="5" w:tplc="0C09001B" w:tentative="1">
      <w:start w:val="1"/>
      <w:numFmt w:val="lowerRoman"/>
      <w:lvlText w:val="%6."/>
      <w:lvlJc w:val="right"/>
      <w:pPr>
        <w:ind w:left="4410" w:hanging="180"/>
      </w:pPr>
    </w:lvl>
    <w:lvl w:ilvl="6" w:tplc="0C09000F" w:tentative="1">
      <w:start w:val="1"/>
      <w:numFmt w:val="decimal"/>
      <w:lvlText w:val="%7."/>
      <w:lvlJc w:val="left"/>
      <w:pPr>
        <w:ind w:left="5130" w:hanging="360"/>
      </w:pPr>
    </w:lvl>
    <w:lvl w:ilvl="7" w:tplc="0C090019" w:tentative="1">
      <w:start w:val="1"/>
      <w:numFmt w:val="lowerLetter"/>
      <w:lvlText w:val="%8."/>
      <w:lvlJc w:val="left"/>
      <w:pPr>
        <w:ind w:left="5850" w:hanging="360"/>
      </w:pPr>
    </w:lvl>
    <w:lvl w:ilvl="8" w:tplc="0C09001B" w:tentative="1">
      <w:start w:val="1"/>
      <w:numFmt w:val="lowerRoman"/>
      <w:lvlText w:val="%9."/>
      <w:lvlJc w:val="right"/>
      <w:pPr>
        <w:ind w:left="6570" w:hanging="180"/>
      </w:pPr>
    </w:lvl>
  </w:abstractNum>
  <w:abstractNum w:abstractNumId="8" w15:restartNumberingAfterBreak="0">
    <w:nsid w:val="5E396DA1"/>
    <w:multiLevelType w:val="multilevel"/>
    <w:tmpl w:val="F94224F6"/>
    <w:lvl w:ilvl="0">
      <w:start w:val="1"/>
      <w:numFmt w:val="decimal"/>
      <w:lvlText w:val="%1."/>
      <w:lvlJc w:val="left"/>
      <w:pPr>
        <w:ind w:left="567" w:hanging="567"/>
      </w:pPr>
      <w:rPr>
        <w:rFonts w:ascii="Calibri" w:eastAsia="Calibri" w:hAnsi="Calibri" w:cs="Calibri"/>
        <w:b w:val="0"/>
        <w:i w:val="0"/>
        <w:smallCaps w:val="0"/>
        <w:strike w:val="0"/>
        <w:sz w:val="22"/>
        <w:szCs w:val="22"/>
        <w:u w:val="none"/>
        <w:shd w:val="clear" w:color="auto" w:fill="auto"/>
        <w:vertAlign w:val="baseline"/>
      </w:rPr>
    </w:lvl>
    <w:lvl w:ilvl="1">
      <w:start w:val="1"/>
      <w:numFmt w:val="lowerLetter"/>
      <w:lvlText w:val="%2."/>
      <w:lvlJc w:val="left"/>
      <w:pPr>
        <w:ind w:left="1361" w:hanging="284"/>
      </w:pPr>
    </w:lvl>
    <w:lvl w:ilvl="2">
      <w:start w:val="1"/>
      <w:numFmt w:val="lowerRoman"/>
      <w:lvlText w:val="%3."/>
      <w:lvlJc w:val="right"/>
      <w:pPr>
        <w:ind w:left="2438" w:hanging="284"/>
      </w:pPr>
    </w:lvl>
    <w:lvl w:ilvl="3">
      <w:start w:val="1"/>
      <w:numFmt w:val="decimal"/>
      <w:lvlText w:val="%4."/>
      <w:lvlJc w:val="left"/>
      <w:pPr>
        <w:ind w:left="3515" w:hanging="284"/>
      </w:pPr>
    </w:lvl>
    <w:lvl w:ilvl="4">
      <w:start w:val="1"/>
      <w:numFmt w:val="lowerLetter"/>
      <w:lvlText w:val="%5."/>
      <w:lvlJc w:val="left"/>
      <w:pPr>
        <w:ind w:left="4592" w:hanging="284"/>
      </w:pPr>
    </w:lvl>
    <w:lvl w:ilvl="5">
      <w:start w:val="1"/>
      <w:numFmt w:val="lowerRoman"/>
      <w:lvlText w:val="%6."/>
      <w:lvlJc w:val="right"/>
      <w:pPr>
        <w:ind w:left="5669" w:hanging="284"/>
      </w:pPr>
    </w:lvl>
    <w:lvl w:ilvl="6">
      <w:start w:val="1"/>
      <w:numFmt w:val="decimal"/>
      <w:lvlText w:val="%7."/>
      <w:lvlJc w:val="left"/>
      <w:pPr>
        <w:ind w:left="6746" w:hanging="284"/>
      </w:pPr>
    </w:lvl>
    <w:lvl w:ilvl="7">
      <w:start w:val="1"/>
      <w:numFmt w:val="lowerLetter"/>
      <w:lvlText w:val="%8."/>
      <w:lvlJc w:val="left"/>
      <w:pPr>
        <w:ind w:left="7823" w:hanging="284"/>
      </w:pPr>
    </w:lvl>
    <w:lvl w:ilvl="8">
      <w:start w:val="1"/>
      <w:numFmt w:val="lowerRoman"/>
      <w:lvlText w:val="%9."/>
      <w:lvlJc w:val="right"/>
      <w:pPr>
        <w:ind w:left="8900" w:hanging="284"/>
      </w:pPr>
    </w:lvl>
  </w:abstractNum>
  <w:abstractNum w:abstractNumId="9" w15:restartNumberingAfterBreak="0">
    <w:nsid w:val="663D738F"/>
    <w:multiLevelType w:val="hybridMultilevel"/>
    <w:tmpl w:val="F50ED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01F33A9"/>
    <w:multiLevelType w:val="multilevel"/>
    <w:tmpl w:val="B8B224F2"/>
    <w:lvl w:ilvl="0">
      <w:start w:val="1"/>
      <w:numFmt w:val="decimal"/>
      <w:pStyle w:val="Norm"/>
      <w:lvlText w:val="%1."/>
      <w:lvlJc w:val="left"/>
      <w:pPr>
        <w:tabs>
          <w:tab w:val="num" w:pos="6300"/>
        </w:tabs>
        <w:ind w:left="5940" w:firstLine="0"/>
      </w:pPr>
      <w:rPr>
        <w:rFonts w:hint="default"/>
        <w:i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98F296A"/>
    <w:multiLevelType w:val="hybridMultilevel"/>
    <w:tmpl w:val="24DA4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AE16FDF"/>
    <w:multiLevelType w:val="hybridMultilevel"/>
    <w:tmpl w:val="789C5802"/>
    <w:lvl w:ilvl="0" w:tplc="D7D0D87A">
      <w:start w:val="1"/>
      <w:numFmt w:val="decimal"/>
      <w:pStyle w:val="IOTCReportNormalNumbered"/>
      <w:lvlText w:val="%1."/>
      <w:lvlJc w:val="left"/>
      <w:pPr>
        <w:ind w:left="502" w:hanging="502"/>
      </w:pPr>
      <w:rPr>
        <w:rFonts w:hint="default"/>
        <w:b w:val="0"/>
        <w:i w:val="0"/>
      </w:rPr>
    </w:lvl>
    <w:lvl w:ilvl="1" w:tplc="04090017">
      <w:start w:val="1"/>
      <w:numFmt w:val="bullet"/>
      <w:lvlText w:val=""/>
      <w:lvlJc w:val="left"/>
      <w:pPr>
        <w:ind w:left="1350" w:hanging="360"/>
      </w:pPr>
      <w:rPr>
        <w:rFonts w:ascii="Symbol" w:hAnsi="Symbol" w:hint="default"/>
      </w:rPr>
    </w:lvl>
    <w:lvl w:ilvl="2" w:tplc="0809001B">
      <w:start w:val="1"/>
      <w:numFmt w:val="lowerRoman"/>
      <w:lvlText w:val="%3."/>
      <w:lvlJc w:val="right"/>
      <w:pPr>
        <w:ind w:left="2070" w:hanging="180"/>
      </w:pPr>
    </w:lvl>
    <w:lvl w:ilvl="3" w:tplc="08090017" w:tentative="1">
      <w:start w:val="1"/>
      <w:numFmt w:val="decimal"/>
      <w:lvlText w:val="%4."/>
      <w:lvlJc w:val="left"/>
      <w:pPr>
        <w:ind w:left="2790" w:hanging="360"/>
      </w:pPr>
    </w:lvl>
    <w:lvl w:ilvl="4" w:tplc="08090019" w:tentative="1">
      <w:start w:val="1"/>
      <w:numFmt w:val="lowerLetter"/>
      <w:lvlText w:val="%5."/>
      <w:lvlJc w:val="left"/>
      <w:pPr>
        <w:ind w:left="3510" w:hanging="360"/>
      </w:pPr>
    </w:lvl>
    <w:lvl w:ilvl="5" w:tplc="0809001B" w:tentative="1">
      <w:start w:val="1"/>
      <w:numFmt w:val="lowerRoman"/>
      <w:lvlText w:val="%6."/>
      <w:lvlJc w:val="right"/>
      <w:pPr>
        <w:ind w:left="4230" w:hanging="180"/>
      </w:pPr>
    </w:lvl>
    <w:lvl w:ilvl="6" w:tplc="0809000F">
      <w:start w:val="1"/>
      <w:numFmt w:val="decimal"/>
      <w:lvlText w:val="%7."/>
      <w:lvlJc w:val="left"/>
      <w:pPr>
        <w:ind w:left="4950" w:hanging="360"/>
      </w:pPr>
    </w:lvl>
    <w:lvl w:ilvl="7" w:tplc="08090019" w:tentative="1">
      <w:start w:val="1"/>
      <w:numFmt w:val="lowerLetter"/>
      <w:lvlText w:val="%8."/>
      <w:lvlJc w:val="left"/>
      <w:pPr>
        <w:ind w:left="5670" w:hanging="360"/>
      </w:pPr>
    </w:lvl>
    <w:lvl w:ilvl="8" w:tplc="0809001B" w:tentative="1">
      <w:start w:val="1"/>
      <w:numFmt w:val="lowerRoman"/>
      <w:lvlText w:val="%9."/>
      <w:lvlJc w:val="right"/>
      <w:pPr>
        <w:ind w:left="6390" w:hanging="180"/>
      </w:pPr>
    </w:lvl>
  </w:abstractNum>
  <w:abstractNum w:abstractNumId="13" w15:restartNumberingAfterBreak="0">
    <w:nsid w:val="7F1237CB"/>
    <w:multiLevelType w:val="hybridMultilevel"/>
    <w:tmpl w:val="417EE6F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60848629">
    <w:abstractNumId w:val="1"/>
  </w:num>
  <w:num w:numId="2" w16cid:durableId="147674858">
    <w:abstractNumId w:val="10"/>
  </w:num>
  <w:num w:numId="3" w16cid:durableId="1194537248">
    <w:abstractNumId w:val="7"/>
  </w:num>
  <w:num w:numId="4" w16cid:durableId="1780176148">
    <w:abstractNumId w:val="4"/>
  </w:num>
  <w:num w:numId="5" w16cid:durableId="1317497127">
    <w:abstractNumId w:val="6"/>
  </w:num>
  <w:num w:numId="6" w16cid:durableId="878859504">
    <w:abstractNumId w:val="13"/>
  </w:num>
  <w:num w:numId="7" w16cid:durableId="2019310460">
    <w:abstractNumId w:val="3"/>
  </w:num>
  <w:num w:numId="8" w16cid:durableId="481313178">
    <w:abstractNumId w:val="12"/>
  </w:num>
  <w:num w:numId="9" w16cid:durableId="1215854624">
    <w:abstractNumId w:val="5"/>
  </w:num>
  <w:num w:numId="10" w16cid:durableId="1097753628">
    <w:abstractNumId w:val="2"/>
  </w:num>
  <w:num w:numId="11" w16cid:durableId="720787628">
    <w:abstractNumId w:val="11"/>
  </w:num>
  <w:num w:numId="12" w16cid:durableId="119149700">
    <w:abstractNumId w:val="9"/>
  </w:num>
  <w:num w:numId="13" w16cid:durableId="296766992">
    <w:abstractNumId w:val="8"/>
  </w:num>
  <w:num w:numId="14" w16cid:durableId="1943220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EzNzMxM7I0MDO2NDVQ0lEKTi0uzszPAykwqgUAzRUKkiwAAAA="/>
  </w:docVars>
  <w:rsids>
    <w:rsidRoot w:val="006B1F40"/>
    <w:rsid w:val="00013703"/>
    <w:rsid w:val="00013B78"/>
    <w:rsid w:val="00015242"/>
    <w:rsid w:val="00016C24"/>
    <w:rsid w:val="0001706F"/>
    <w:rsid w:val="00025BF8"/>
    <w:rsid w:val="0003004A"/>
    <w:rsid w:val="00040751"/>
    <w:rsid w:val="000416CA"/>
    <w:rsid w:val="00047A64"/>
    <w:rsid w:val="00054F46"/>
    <w:rsid w:val="00066045"/>
    <w:rsid w:val="0007737A"/>
    <w:rsid w:val="000A77AA"/>
    <w:rsid w:val="000B0527"/>
    <w:rsid w:val="000C3CA4"/>
    <w:rsid w:val="000E10A6"/>
    <w:rsid w:val="000E2E3D"/>
    <w:rsid w:val="000E5B52"/>
    <w:rsid w:val="000E5E81"/>
    <w:rsid w:val="000E769F"/>
    <w:rsid w:val="00110149"/>
    <w:rsid w:val="00110FE1"/>
    <w:rsid w:val="00111363"/>
    <w:rsid w:val="00112BF0"/>
    <w:rsid w:val="00112E14"/>
    <w:rsid w:val="001161DF"/>
    <w:rsid w:val="001411F4"/>
    <w:rsid w:val="001430D0"/>
    <w:rsid w:val="00144D00"/>
    <w:rsid w:val="00155261"/>
    <w:rsid w:val="00165E08"/>
    <w:rsid w:val="00185194"/>
    <w:rsid w:val="00192F99"/>
    <w:rsid w:val="0019734C"/>
    <w:rsid w:val="001A2ADC"/>
    <w:rsid w:val="001A3628"/>
    <w:rsid w:val="001B4D59"/>
    <w:rsid w:val="001D69D0"/>
    <w:rsid w:val="001E5B55"/>
    <w:rsid w:val="001F073A"/>
    <w:rsid w:val="001F3A52"/>
    <w:rsid w:val="00205CF1"/>
    <w:rsid w:val="002066EF"/>
    <w:rsid w:val="00213853"/>
    <w:rsid w:val="00215A14"/>
    <w:rsid w:val="00216C24"/>
    <w:rsid w:val="00224E8C"/>
    <w:rsid w:val="00225D65"/>
    <w:rsid w:val="00226130"/>
    <w:rsid w:val="00230B91"/>
    <w:rsid w:val="0023230C"/>
    <w:rsid w:val="00251117"/>
    <w:rsid w:val="00254B1F"/>
    <w:rsid w:val="00256C37"/>
    <w:rsid w:val="00263AF4"/>
    <w:rsid w:val="00264C54"/>
    <w:rsid w:val="00267FF8"/>
    <w:rsid w:val="00272EF8"/>
    <w:rsid w:val="00287397"/>
    <w:rsid w:val="002929E6"/>
    <w:rsid w:val="002961DA"/>
    <w:rsid w:val="002A5660"/>
    <w:rsid w:val="002A79A5"/>
    <w:rsid w:val="002C027D"/>
    <w:rsid w:val="002E295C"/>
    <w:rsid w:val="002F261F"/>
    <w:rsid w:val="002F7965"/>
    <w:rsid w:val="00300293"/>
    <w:rsid w:val="0033309F"/>
    <w:rsid w:val="0034589A"/>
    <w:rsid w:val="003614A8"/>
    <w:rsid w:val="003672AD"/>
    <w:rsid w:val="00380B01"/>
    <w:rsid w:val="00391368"/>
    <w:rsid w:val="00392A1F"/>
    <w:rsid w:val="00393809"/>
    <w:rsid w:val="003A0088"/>
    <w:rsid w:val="003A080B"/>
    <w:rsid w:val="003A2BBF"/>
    <w:rsid w:val="003C779E"/>
    <w:rsid w:val="003D59A1"/>
    <w:rsid w:val="003E13B4"/>
    <w:rsid w:val="003F2B96"/>
    <w:rsid w:val="00401B9D"/>
    <w:rsid w:val="004068BA"/>
    <w:rsid w:val="00410785"/>
    <w:rsid w:val="004234B9"/>
    <w:rsid w:val="00425D35"/>
    <w:rsid w:val="004304AB"/>
    <w:rsid w:val="00436462"/>
    <w:rsid w:val="004374B9"/>
    <w:rsid w:val="00444B69"/>
    <w:rsid w:val="00454183"/>
    <w:rsid w:val="00465519"/>
    <w:rsid w:val="00466CD0"/>
    <w:rsid w:val="00476F9E"/>
    <w:rsid w:val="00485062"/>
    <w:rsid w:val="0049166A"/>
    <w:rsid w:val="004947A0"/>
    <w:rsid w:val="00496361"/>
    <w:rsid w:val="00496EF6"/>
    <w:rsid w:val="004A53DB"/>
    <w:rsid w:val="004C2B76"/>
    <w:rsid w:val="004E2FF4"/>
    <w:rsid w:val="004F0AAF"/>
    <w:rsid w:val="004F597D"/>
    <w:rsid w:val="0050679E"/>
    <w:rsid w:val="00524CDF"/>
    <w:rsid w:val="005319CD"/>
    <w:rsid w:val="0053402E"/>
    <w:rsid w:val="00551D86"/>
    <w:rsid w:val="00556840"/>
    <w:rsid w:val="005600B4"/>
    <w:rsid w:val="005634D3"/>
    <w:rsid w:val="00570B52"/>
    <w:rsid w:val="00574852"/>
    <w:rsid w:val="005911F2"/>
    <w:rsid w:val="00594B4D"/>
    <w:rsid w:val="005A21C1"/>
    <w:rsid w:val="005A3813"/>
    <w:rsid w:val="005C7CB5"/>
    <w:rsid w:val="005D45A5"/>
    <w:rsid w:val="005E1BE1"/>
    <w:rsid w:val="005E2F4D"/>
    <w:rsid w:val="00604142"/>
    <w:rsid w:val="0061524F"/>
    <w:rsid w:val="00616FCF"/>
    <w:rsid w:val="00617F39"/>
    <w:rsid w:val="0062279C"/>
    <w:rsid w:val="00635521"/>
    <w:rsid w:val="00642A86"/>
    <w:rsid w:val="00645564"/>
    <w:rsid w:val="00645D0E"/>
    <w:rsid w:val="006463E0"/>
    <w:rsid w:val="00646D85"/>
    <w:rsid w:val="00647A7F"/>
    <w:rsid w:val="006547BE"/>
    <w:rsid w:val="00670613"/>
    <w:rsid w:val="00675C73"/>
    <w:rsid w:val="0067641F"/>
    <w:rsid w:val="00691593"/>
    <w:rsid w:val="006917E5"/>
    <w:rsid w:val="00696B2C"/>
    <w:rsid w:val="006B1F40"/>
    <w:rsid w:val="006C09C3"/>
    <w:rsid w:val="006D3B6F"/>
    <w:rsid w:val="006E373A"/>
    <w:rsid w:val="006E44E5"/>
    <w:rsid w:val="00705016"/>
    <w:rsid w:val="007076B5"/>
    <w:rsid w:val="0071026B"/>
    <w:rsid w:val="00711EE9"/>
    <w:rsid w:val="00713905"/>
    <w:rsid w:val="00714A22"/>
    <w:rsid w:val="00716B93"/>
    <w:rsid w:val="0073039B"/>
    <w:rsid w:val="00734679"/>
    <w:rsid w:val="007410BB"/>
    <w:rsid w:val="00745A92"/>
    <w:rsid w:val="0075441F"/>
    <w:rsid w:val="00770E41"/>
    <w:rsid w:val="00776D66"/>
    <w:rsid w:val="00777F82"/>
    <w:rsid w:val="00783159"/>
    <w:rsid w:val="007875FA"/>
    <w:rsid w:val="00792323"/>
    <w:rsid w:val="007A2B9A"/>
    <w:rsid w:val="007A6730"/>
    <w:rsid w:val="007B5355"/>
    <w:rsid w:val="007B757E"/>
    <w:rsid w:val="007D4004"/>
    <w:rsid w:val="007F49EB"/>
    <w:rsid w:val="007F5661"/>
    <w:rsid w:val="007F7241"/>
    <w:rsid w:val="00813251"/>
    <w:rsid w:val="00820FF8"/>
    <w:rsid w:val="00824D4A"/>
    <w:rsid w:val="00833E5E"/>
    <w:rsid w:val="00846819"/>
    <w:rsid w:val="00851C49"/>
    <w:rsid w:val="00856B77"/>
    <w:rsid w:val="00877250"/>
    <w:rsid w:val="00897557"/>
    <w:rsid w:val="00897722"/>
    <w:rsid w:val="008A3607"/>
    <w:rsid w:val="008A7E0B"/>
    <w:rsid w:val="008B32FB"/>
    <w:rsid w:val="008B71B1"/>
    <w:rsid w:val="008C7296"/>
    <w:rsid w:val="008D1951"/>
    <w:rsid w:val="008D1B6A"/>
    <w:rsid w:val="008D31C7"/>
    <w:rsid w:val="008F3C05"/>
    <w:rsid w:val="009018FC"/>
    <w:rsid w:val="00912E88"/>
    <w:rsid w:val="00924222"/>
    <w:rsid w:val="009572BD"/>
    <w:rsid w:val="00963529"/>
    <w:rsid w:val="009730D2"/>
    <w:rsid w:val="009743A7"/>
    <w:rsid w:val="0097694B"/>
    <w:rsid w:val="00986A80"/>
    <w:rsid w:val="00995BA3"/>
    <w:rsid w:val="009D3365"/>
    <w:rsid w:val="009D4A19"/>
    <w:rsid w:val="009E0BD0"/>
    <w:rsid w:val="009E13EF"/>
    <w:rsid w:val="00A11942"/>
    <w:rsid w:val="00A27DE8"/>
    <w:rsid w:val="00A3458C"/>
    <w:rsid w:val="00A41FE6"/>
    <w:rsid w:val="00A44E3A"/>
    <w:rsid w:val="00A505CF"/>
    <w:rsid w:val="00A529D8"/>
    <w:rsid w:val="00A54594"/>
    <w:rsid w:val="00A54F33"/>
    <w:rsid w:val="00A67C4A"/>
    <w:rsid w:val="00A775C1"/>
    <w:rsid w:val="00AA22FB"/>
    <w:rsid w:val="00AA7D99"/>
    <w:rsid w:val="00AB3CC8"/>
    <w:rsid w:val="00AC1312"/>
    <w:rsid w:val="00AC3E69"/>
    <w:rsid w:val="00AC75D4"/>
    <w:rsid w:val="00AF13D4"/>
    <w:rsid w:val="00B03202"/>
    <w:rsid w:val="00B15356"/>
    <w:rsid w:val="00B157C2"/>
    <w:rsid w:val="00B17B6A"/>
    <w:rsid w:val="00B213C2"/>
    <w:rsid w:val="00B236ED"/>
    <w:rsid w:val="00B412D3"/>
    <w:rsid w:val="00B425AE"/>
    <w:rsid w:val="00B43F11"/>
    <w:rsid w:val="00B461F0"/>
    <w:rsid w:val="00B62468"/>
    <w:rsid w:val="00B650B0"/>
    <w:rsid w:val="00B72EB4"/>
    <w:rsid w:val="00B976D5"/>
    <w:rsid w:val="00BA4680"/>
    <w:rsid w:val="00BB11CD"/>
    <w:rsid w:val="00BB21F4"/>
    <w:rsid w:val="00BD197F"/>
    <w:rsid w:val="00BE7E48"/>
    <w:rsid w:val="00C00363"/>
    <w:rsid w:val="00C028C4"/>
    <w:rsid w:val="00C0443E"/>
    <w:rsid w:val="00C303D9"/>
    <w:rsid w:val="00C31B73"/>
    <w:rsid w:val="00C355DC"/>
    <w:rsid w:val="00C47B30"/>
    <w:rsid w:val="00C543A0"/>
    <w:rsid w:val="00C739A0"/>
    <w:rsid w:val="00C75D2C"/>
    <w:rsid w:val="00C7717D"/>
    <w:rsid w:val="00C85859"/>
    <w:rsid w:val="00C92B30"/>
    <w:rsid w:val="00C95F51"/>
    <w:rsid w:val="00CA08F9"/>
    <w:rsid w:val="00CC42F3"/>
    <w:rsid w:val="00CC762A"/>
    <w:rsid w:val="00CD22F3"/>
    <w:rsid w:val="00CE0CB0"/>
    <w:rsid w:val="00CF5B18"/>
    <w:rsid w:val="00D12D30"/>
    <w:rsid w:val="00D13058"/>
    <w:rsid w:val="00D16AC0"/>
    <w:rsid w:val="00D232B6"/>
    <w:rsid w:val="00D24DB2"/>
    <w:rsid w:val="00D60645"/>
    <w:rsid w:val="00D63ED7"/>
    <w:rsid w:val="00D9655F"/>
    <w:rsid w:val="00DA1862"/>
    <w:rsid w:val="00DA2561"/>
    <w:rsid w:val="00DB261E"/>
    <w:rsid w:val="00DB7C89"/>
    <w:rsid w:val="00DF19AF"/>
    <w:rsid w:val="00E15A33"/>
    <w:rsid w:val="00E2553D"/>
    <w:rsid w:val="00E37DCF"/>
    <w:rsid w:val="00E423BC"/>
    <w:rsid w:val="00E62972"/>
    <w:rsid w:val="00E6495D"/>
    <w:rsid w:val="00E81FF9"/>
    <w:rsid w:val="00EC1F8F"/>
    <w:rsid w:val="00ED33B2"/>
    <w:rsid w:val="00EE4BBB"/>
    <w:rsid w:val="00F002D0"/>
    <w:rsid w:val="00F2404E"/>
    <w:rsid w:val="00F269EC"/>
    <w:rsid w:val="00F36C58"/>
    <w:rsid w:val="00F7036D"/>
    <w:rsid w:val="00F741A6"/>
    <w:rsid w:val="00F77C1D"/>
    <w:rsid w:val="00FA59F5"/>
    <w:rsid w:val="00FB050E"/>
    <w:rsid w:val="00FC1598"/>
    <w:rsid w:val="00FC26D6"/>
    <w:rsid w:val="00FC7368"/>
    <w:rsid w:val="00FD1AD3"/>
    <w:rsid w:val="00FE1CCD"/>
    <w:rsid w:val="00FE517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1D393755"/>
  <w15:chartTrackingRefBased/>
  <w15:docId w15:val="{AFA223CB-A884-4E61-BF68-CC6896324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B9A"/>
    <w:pPr>
      <w:jc w:val="both"/>
    </w:pPr>
  </w:style>
  <w:style w:type="paragraph" w:styleId="Heading1">
    <w:name w:val="heading 1"/>
    <w:basedOn w:val="Normal"/>
    <w:next w:val="Normal"/>
    <w:link w:val="Heading1Char"/>
    <w:uiPriority w:val="9"/>
    <w:qFormat/>
    <w:rsid w:val="007A2B9A"/>
    <w:pPr>
      <w:keepNext/>
      <w:keepLines/>
      <w:spacing w:before="240" w:after="0"/>
      <w:outlineLvl w:val="0"/>
    </w:pPr>
    <w:rPr>
      <w:rFonts w:ascii="Calibri" w:eastAsiaTheme="majorEastAsia" w:hAnsi="Calibri" w:cstheme="majorBidi"/>
      <w:b/>
      <w:sz w:val="32"/>
      <w:szCs w:val="32"/>
    </w:rPr>
  </w:style>
  <w:style w:type="paragraph" w:styleId="Heading2">
    <w:name w:val="heading 2"/>
    <w:basedOn w:val="Normal"/>
    <w:next w:val="Normal"/>
    <w:link w:val="Heading2Char"/>
    <w:uiPriority w:val="9"/>
    <w:unhideWhenUsed/>
    <w:qFormat/>
    <w:rsid w:val="00AB3CC8"/>
    <w:pPr>
      <w:keepNext/>
      <w:keepLines/>
      <w:spacing w:before="120" w:after="6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7A2B9A"/>
    <w:pPr>
      <w:keepNext/>
      <w:keepLines/>
      <w:spacing w:before="40" w:after="0"/>
      <w:outlineLvl w:val="2"/>
    </w:pPr>
    <w:rPr>
      <w:rFonts w:ascii="Calibri" w:eastAsiaTheme="majorEastAsia" w:hAnsi="Calibri" w:cstheme="majorBidi"/>
      <w:b/>
      <w:sz w:val="24"/>
      <w:szCs w:val="24"/>
    </w:rPr>
  </w:style>
  <w:style w:type="paragraph" w:styleId="Heading4">
    <w:name w:val="heading 4"/>
    <w:basedOn w:val="Normal"/>
    <w:next w:val="Normal"/>
    <w:link w:val="Heading4Char"/>
    <w:uiPriority w:val="9"/>
    <w:unhideWhenUsed/>
    <w:qFormat/>
    <w:rsid w:val="007A2B9A"/>
    <w:pPr>
      <w:keepNext/>
      <w:keepLines/>
      <w:spacing w:before="40" w:after="0"/>
      <w:outlineLvl w:val="3"/>
    </w:pPr>
    <w:rPr>
      <w:rFonts w:asciiTheme="majorHAnsi" w:eastAsiaTheme="majorEastAsia" w:hAnsiTheme="majorHAnsi" w:cstheme="majorBidi"/>
      <w:b/>
      <w:bCs/>
      <w:i/>
      <w:iCs/>
      <w:sz w:val="24"/>
    </w:rPr>
  </w:style>
  <w:style w:type="paragraph" w:styleId="Heading5">
    <w:name w:val="heading 5"/>
    <w:basedOn w:val="Normal"/>
    <w:next w:val="Normal"/>
    <w:link w:val="Heading5Char"/>
    <w:uiPriority w:val="9"/>
    <w:unhideWhenUsed/>
    <w:rsid w:val="00CF5B1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7">
    <w:name w:val="heading 7"/>
    <w:basedOn w:val="Normal"/>
    <w:next w:val="Normal"/>
    <w:link w:val="Heading7Char"/>
    <w:uiPriority w:val="9"/>
    <w:unhideWhenUsed/>
    <w:qFormat/>
    <w:rsid w:val="00A67C4A"/>
    <w:pPr>
      <w:keepNext/>
      <w:keepLines/>
      <w:spacing w:before="40" w:after="0"/>
      <w:outlineLvl w:val="6"/>
    </w:pPr>
    <w:rPr>
      <w:rFonts w:asciiTheme="majorHAnsi" w:eastAsiaTheme="majorEastAsia" w:hAnsiTheme="majorHAnsi" w:cstheme="majorBidi"/>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2B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2B9A"/>
  </w:style>
  <w:style w:type="paragraph" w:styleId="Footer">
    <w:name w:val="footer"/>
    <w:basedOn w:val="Normal"/>
    <w:link w:val="FooterChar"/>
    <w:uiPriority w:val="99"/>
    <w:unhideWhenUsed/>
    <w:rsid w:val="007A2B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2B9A"/>
  </w:style>
  <w:style w:type="paragraph" w:styleId="NoSpacing">
    <w:name w:val="No Spacing"/>
    <w:uiPriority w:val="1"/>
    <w:qFormat/>
    <w:rsid w:val="007A2B9A"/>
    <w:pPr>
      <w:spacing w:after="0" w:line="240" w:lineRule="auto"/>
      <w:jc w:val="both"/>
    </w:pPr>
  </w:style>
  <w:style w:type="character" w:customStyle="1" w:styleId="Heading1Char">
    <w:name w:val="Heading 1 Char"/>
    <w:basedOn w:val="DefaultParagraphFont"/>
    <w:link w:val="Heading1"/>
    <w:uiPriority w:val="9"/>
    <w:rsid w:val="007A2B9A"/>
    <w:rPr>
      <w:rFonts w:ascii="Calibri" w:eastAsiaTheme="majorEastAsia" w:hAnsi="Calibri" w:cstheme="majorBidi"/>
      <w:b/>
      <w:sz w:val="32"/>
      <w:szCs w:val="32"/>
    </w:rPr>
  </w:style>
  <w:style w:type="character" w:customStyle="1" w:styleId="Heading2Char">
    <w:name w:val="Heading 2 Char"/>
    <w:basedOn w:val="DefaultParagraphFont"/>
    <w:link w:val="Heading2"/>
    <w:uiPriority w:val="9"/>
    <w:rsid w:val="00AB3CC8"/>
    <w:rPr>
      <w:rFonts w:ascii="Calibri" w:eastAsiaTheme="majorEastAsia" w:hAnsi="Calibri" w:cstheme="majorBidi"/>
      <w:b/>
      <w:sz w:val="28"/>
      <w:szCs w:val="26"/>
    </w:rPr>
  </w:style>
  <w:style w:type="character" w:customStyle="1" w:styleId="Heading3Char">
    <w:name w:val="Heading 3 Char"/>
    <w:basedOn w:val="DefaultParagraphFont"/>
    <w:link w:val="Heading3"/>
    <w:uiPriority w:val="9"/>
    <w:rsid w:val="007A2B9A"/>
    <w:rPr>
      <w:rFonts w:ascii="Calibri" w:eastAsiaTheme="majorEastAsia" w:hAnsi="Calibri" w:cstheme="majorBidi"/>
      <w:b/>
      <w:sz w:val="24"/>
      <w:szCs w:val="24"/>
    </w:rPr>
  </w:style>
  <w:style w:type="character" w:customStyle="1" w:styleId="Heading4Char">
    <w:name w:val="Heading 4 Char"/>
    <w:basedOn w:val="DefaultParagraphFont"/>
    <w:link w:val="Heading4"/>
    <w:uiPriority w:val="9"/>
    <w:rsid w:val="007A2B9A"/>
    <w:rPr>
      <w:rFonts w:asciiTheme="majorHAnsi" w:eastAsiaTheme="majorEastAsia" w:hAnsiTheme="majorHAnsi" w:cstheme="majorBidi"/>
      <w:b/>
      <w:bCs/>
      <w:i/>
      <w:iCs/>
      <w:sz w:val="24"/>
    </w:rPr>
  </w:style>
  <w:style w:type="paragraph" w:styleId="Title">
    <w:name w:val="Title"/>
    <w:basedOn w:val="Normal"/>
    <w:next w:val="Normal"/>
    <w:link w:val="TitleChar"/>
    <w:uiPriority w:val="10"/>
    <w:qFormat/>
    <w:rsid w:val="00D232B6"/>
    <w:pPr>
      <w:spacing w:before="240" w:after="240" w:line="240" w:lineRule="auto"/>
      <w:jc w:val="center"/>
    </w:pPr>
    <w:rPr>
      <w:rFonts w:ascii="Calibri" w:eastAsiaTheme="majorEastAsia" w:hAnsi="Calibri" w:cstheme="majorBidi"/>
      <w:b/>
      <w:caps/>
      <w:spacing w:val="-10"/>
      <w:kern w:val="28"/>
      <w:sz w:val="36"/>
      <w:szCs w:val="56"/>
    </w:rPr>
  </w:style>
  <w:style w:type="character" w:customStyle="1" w:styleId="TitleChar">
    <w:name w:val="Title Char"/>
    <w:basedOn w:val="DefaultParagraphFont"/>
    <w:link w:val="Title"/>
    <w:uiPriority w:val="10"/>
    <w:rsid w:val="00D232B6"/>
    <w:rPr>
      <w:rFonts w:ascii="Calibri" w:eastAsiaTheme="majorEastAsia" w:hAnsi="Calibri" w:cstheme="majorBidi"/>
      <w:b/>
      <w:caps/>
      <w:spacing w:val="-10"/>
      <w:kern w:val="28"/>
      <w:sz w:val="36"/>
      <w:szCs w:val="56"/>
    </w:rPr>
  </w:style>
  <w:style w:type="paragraph" w:styleId="BalloonText">
    <w:name w:val="Balloon Text"/>
    <w:basedOn w:val="Normal"/>
    <w:link w:val="BalloonTextChar"/>
    <w:uiPriority w:val="99"/>
    <w:semiHidden/>
    <w:unhideWhenUsed/>
    <w:rsid w:val="007A2B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2B9A"/>
    <w:rPr>
      <w:rFonts w:ascii="Segoe UI" w:hAnsi="Segoe UI" w:cs="Segoe UI"/>
      <w:sz w:val="18"/>
      <w:szCs w:val="18"/>
    </w:rPr>
  </w:style>
  <w:style w:type="paragraph" w:customStyle="1" w:styleId="hhh">
    <w:name w:val="hhh"/>
    <w:basedOn w:val="Normal"/>
    <w:rsid w:val="007A2B9A"/>
    <w:pPr>
      <w:spacing w:before="180" w:after="120" w:line="360" w:lineRule="auto"/>
      <w:jc w:val="center"/>
    </w:pPr>
    <w:rPr>
      <w:rFonts w:ascii="Times New Roman (PCL6)" w:eastAsia="Times New Roman" w:hAnsi="Times New Roman (PCL6)" w:cs="Times New Roman"/>
      <w:b/>
      <w:color w:val="000000"/>
      <w:sz w:val="32"/>
      <w:szCs w:val="24"/>
      <w:lang w:val="pt-BR"/>
    </w:rPr>
  </w:style>
  <w:style w:type="paragraph" w:customStyle="1" w:styleId="Documentreference">
    <w:name w:val="Document reference"/>
    <w:basedOn w:val="Normal"/>
    <w:link w:val="DocumentreferenceChar"/>
    <w:qFormat/>
    <w:rsid w:val="007A2B9A"/>
    <w:pPr>
      <w:pBdr>
        <w:bottom w:val="single" w:sz="4" w:space="1" w:color="auto"/>
      </w:pBdr>
      <w:jc w:val="right"/>
    </w:pPr>
    <w:rPr>
      <w:noProof/>
      <w:sz w:val="28"/>
      <w:szCs w:val="28"/>
      <w:lang w:eastAsia="en-GB"/>
    </w:rPr>
  </w:style>
  <w:style w:type="paragraph" w:customStyle="1" w:styleId="Authorandrevision">
    <w:name w:val="Author and revision"/>
    <w:basedOn w:val="Normal"/>
    <w:link w:val="AuthorandrevisionChar"/>
    <w:qFormat/>
    <w:rsid w:val="007A2B9A"/>
    <w:pPr>
      <w:pBdr>
        <w:bottom w:val="single" w:sz="4" w:space="1" w:color="auto"/>
      </w:pBdr>
      <w:jc w:val="right"/>
    </w:pPr>
    <w:rPr>
      <w:b/>
      <w:bCs/>
      <w:smallCaps/>
    </w:rPr>
  </w:style>
  <w:style w:type="character" w:customStyle="1" w:styleId="DocumentreferenceChar">
    <w:name w:val="Document reference Char"/>
    <w:basedOn w:val="DefaultParagraphFont"/>
    <w:link w:val="Documentreference"/>
    <w:rsid w:val="007A2B9A"/>
    <w:rPr>
      <w:noProof/>
      <w:sz w:val="28"/>
      <w:szCs w:val="28"/>
      <w:lang w:eastAsia="en-GB"/>
    </w:rPr>
  </w:style>
  <w:style w:type="paragraph" w:styleId="ListParagraph">
    <w:name w:val="List Paragraph"/>
    <w:basedOn w:val="Normal"/>
    <w:uiPriority w:val="34"/>
    <w:qFormat/>
    <w:rsid w:val="007A2B9A"/>
    <w:pPr>
      <w:ind w:left="720"/>
      <w:contextualSpacing/>
    </w:pPr>
  </w:style>
  <w:style w:type="character" w:customStyle="1" w:styleId="AuthorandrevisionChar">
    <w:name w:val="Author and revision Char"/>
    <w:basedOn w:val="DefaultParagraphFont"/>
    <w:link w:val="Authorandrevision"/>
    <w:rsid w:val="007A2B9A"/>
    <w:rPr>
      <w:b/>
      <w:bCs/>
      <w:smallCaps/>
    </w:rPr>
  </w:style>
  <w:style w:type="paragraph" w:styleId="FootnoteText">
    <w:name w:val="footnote text"/>
    <w:basedOn w:val="Normal"/>
    <w:link w:val="FootnoteTextChar"/>
    <w:uiPriority w:val="99"/>
    <w:semiHidden/>
    <w:unhideWhenUsed/>
    <w:rsid w:val="007A2B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2B9A"/>
    <w:rPr>
      <w:sz w:val="20"/>
      <w:szCs w:val="20"/>
    </w:rPr>
  </w:style>
  <w:style w:type="character" w:styleId="FootnoteReference">
    <w:name w:val="footnote reference"/>
    <w:basedOn w:val="DefaultParagraphFont"/>
    <w:uiPriority w:val="99"/>
    <w:semiHidden/>
    <w:unhideWhenUsed/>
    <w:rsid w:val="007A2B9A"/>
    <w:rPr>
      <w:vertAlign w:val="superscript"/>
    </w:rPr>
  </w:style>
  <w:style w:type="character" w:customStyle="1" w:styleId="Captiontext">
    <w:name w:val="Caption text"/>
    <w:basedOn w:val="DefaultParagraphFont"/>
    <w:uiPriority w:val="1"/>
    <w:qFormat/>
    <w:rsid w:val="00CF5B18"/>
  </w:style>
  <w:style w:type="character" w:customStyle="1" w:styleId="Heading5Char">
    <w:name w:val="Heading 5 Char"/>
    <w:basedOn w:val="DefaultParagraphFont"/>
    <w:link w:val="Heading5"/>
    <w:uiPriority w:val="9"/>
    <w:rsid w:val="00CF5B18"/>
    <w:rPr>
      <w:rFonts w:asciiTheme="majorHAnsi" w:eastAsiaTheme="majorEastAsia" w:hAnsiTheme="majorHAnsi" w:cstheme="majorBidi"/>
      <w:color w:val="2F5496" w:themeColor="accent1" w:themeShade="BF"/>
    </w:rPr>
  </w:style>
  <w:style w:type="character" w:customStyle="1" w:styleId="Figure">
    <w:name w:val="Figure"/>
    <w:basedOn w:val="DefaultParagraphFont"/>
    <w:uiPriority w:val="1"/>
    <w:qFormat/>
    <w:rsid w:val="00CF5B18"/>
  </w:style>
  <w:style w:type="character" w:customStyle="1" w:styleId="Captionlabel">
    <w:name w:val="Caption label"/>
    <w:basedOn w:val="DefaultParagraphFont"/>
    <w:uiPriority w:val="1"/>
    <w:qFormat/>
    <w:rsid w:val="00CF5B18"/>
    <w:rPr>
      <w:b/>
    </w:rPr>
  </w:style>
  <w:style w:type="paragraph" w:customStyle="1" w:styleId="Norm">
    <w:name w:val="Norm"/>
    <w:basedOn w:val="Normal"/>
    <w:rsid w:val="006B1F40"/>
    <w:pPr>
      <w:numPr>
        <w:numId w:val="2"/>
      </w:numPr>
      <w:spacing w:before="120" w:after="0" w:line="240" w:lineRule="auto"/>
    </w:pPr>
    <w:rPr>
      <w:rFonts w:ascii="Times New Roman" w:eastAsia="Times New Roman" w:hAnsi="Times New Roman" w:cs="Times New Roman"/>
      <w:sz w:val="20"/>
      <w:szCs w:val="24"/>
    </w:rPr>
  </w:style>
  <w:style w:type="paragraph" w:customStyle="1" w:styleId="H1">
    <w:name w:val="H1"/>
    <w:basedOn w:val="Heading1"/>
    <w:next w:val="Normal"/>
    <w:rsid w:val="006B1F40"/>
    <w:pPr>
      <w:keepLines w:val="0"/>
      <w:spacing w:before="60" w:line="240" w:lineRule="auto"/>
      <w:jc w:val="left"/>
    </w:pPr>
    <w:rPr>
      <w:rFonts w:ascii="Times New Roman Bold" w:eastAsia="Times New Roman" w:hAnsi="Times New Roman Bold" w:cs="Times New Roman"/>
      <w:bCs/>
      <w:smallCaps/>
      <w:kern w:val="28"/>
      <w:sz w:val="24"/>
      <w:szCs w:val="28"/>
    </w:rPr>
  </w:style>
  <w:style w:type="character" w:styleId="Hyperlink">
    <w:name w:val="Hyperlink"/>
    <w:uiPriority w:val="99"/>
    <w:qFormat/>
    <w:rsid w:val="00647A7F"/>
    <w:rPr>
      <w:color w:val="0000FF"/>
      <w:u w:val="single"/>
    </w:rPr>
  </w:style>
  <w:style w:type="paragraph" w:customStyle="1" w:styleId="IOTCReportNormalNumbered">
    <w:name w:val="IOTC Report Normal Numbered"/>
    <w:basedOn w:val="Normal"/>
    <w:qFormat/>
    <w:rsid w:val="00647A7F"/>
    <w:pPr>
      <w:numPr>
        <w:numId w:val="8"/>
      </w:numPr>
      <w:spacing w:before="120" w:after="0" w:line="240" w:lineRule="auto"/>
    </w:pPr>
    <w:rPr>
      <w:rFonts w:ascii="Times New Roman" w:eastAsia="Times New Roman" w:hAnsi="Times New Roman" w:cs="Times New Roman"/>
      <w:snapToGrid w:val="0"/>
      <w:color w:val="000000"/>
      <w:szCs w:val="20"/>
    </w:rPr>
  </w:style>
  <w:style w:type="paragraph" w:customStyle="1" w:styleId="IOTCAgendaH1">
    <w:name w:val="IOTC Agenda H1"/>
    <w:basedOn w:val="Normal"/>
    <w:next w:val="Normal"/>
    <w:rsid w:val="00066045"/>
    <w:pPr>
      <w:keepNext/>
      <w:numPr>
        <w:numId w:val="9"/>
      </w:numPr>
      <w:spacing w:before="240" w:after="60" w:line="240" w:lineRule="auto"/>
      <w:jc w:val="left"/>
      <w:outlineLvl w:val="0"/>
    </w:pPr>
    <w:rPr>
      <w:rFonts w:ascii="Times New Roman" w:eastAsia="Times New Roman" w:hAnsi="Times New Roman" w:cs="Times New Roman"/>
      <w:b/>
      <w:smallCaps/>
      <w:color w:val="000000"/>
      <w:kern w:val="32"/>
      <w:sz w:val="28"/>
      <w:lang w:eastAsia="fr-FR"/>
    </w:rPr>
  </w:style>
  <w:style w:type="character" w:styleId="CommentReference">
    <w:name w:val="annotation reference"/>
    <w:basedOn w:val="DefaultParagraphFont"/>
    <w:uiPriority w:val="99"/>
    <w:semiHidden/>
    <w:unhideWhenUsed/>
    <w:rsid w:val="00144D00"/>
    <w:rPr>
      <w:sz w:val="16"/>
      <w:szCs w:val="16"/>
    </w:rPr>
  </w:style>
  <w:style w:type="paragraph" w:styleId="CommentText">
    <w:name w:val="annotation text"/>
    <w:basedOn w:val="Normal"/>
    <w:link w:val="CommentTextChar"/>
    <w:uiPriority w:val="99"/>
    <w:unhideWhenUsed/>
    <w:rsid w:val="00144D00"/>
    <w:pPr>
      <w:spacing w:line="240" w:lineRule="auto"/>
    </w:pPr>
    <w:rPr>
      <w:sz w:val="20"/>
      <w:szCs w:val="20"/>
    </w:rPr>
  </w:style>
  <w:style w:type="character" w:customStyle="1" w:styleId="CommentTextChar">
    <w:name w:val="Comment Text Char"/>
    <w:basedOn w:val="DefaultParagraphFont"/>
    <w:link w:val="CommentText"/>
    <w:uiPriority w:val="99"/>
    <w:rsid w:val="00144D00"/>
    <w:rPr>
      <w:sz w:val="20"/>
      <w:szCs w:val="20"/>
    </w:rPr>
  </w:style>
  <w:style w:type="paragraph" w:styleId="CommentSubject">
    <w:name w:val="annotation subject"/>
    <w:basedOn w:val="CommentText"/>
    <w:next w:val="CommentText"/>
    <w:link w:val="CommentSubjectChar"/>
    <w:uiPriority w:val="99"/>
    <w:semiHidden/>
    <w:unhideWhenUsed/>
    <w:rsid w:val="00144D00"/>
    <w:rPr>
      <w:b/>
      <w:bCs/>
    </w:rPr>
  </w:style>
  <w:style w:type="character" w:customStyle="1" w:styleId="CommentSubjectChar">
    <w:name w:val="Comment Subject Char"/>
    <w:basedOn w:val="CommentTextChar"/>
    <w:link w:val="CommentSubject"/>
    <w:uiPriority w:val="99"/>
    <w:semiHidden/>
    <w:rsid w:val="00144D00"/>
    <w:rPr>
      <w:b/>
      <w:bCs/>
      <w:sz w:val="20"/>
      <w:szCs w:val="20"/>
    </w:rPr>
  </w:style>
  <w:style w:type="paragraph" w:customStyle="1" w:styleId="Default">
    <w:name w:val="Default"/>
    <w:rsid w:val="0097694B"/>
    <w:pPr>
      <w:autoSpaceDE w:val="0"/>
      <w:autoSpaceDN w:val="0"/>
      <w:adjustRightInd w:val="0"/>
      <w:spacing w:after="0" w:line="240" w:lineRule="auto"/>
    </w:pPr>
    <w:rPr>
      <w:rFonts w:ascii="Calibri" w:hAnsi="Calibri" w:cs="Calibri"/>
      <w:color w:val="000000"/>
      <w:sz w:val="24"/>
      <w:szCs w:val="24"/>
    </w:rPr>
  </w:style>
  <w:style w:type="paragraph" w:styleId="Revision">
    <w:name w:val="Revision"/>
    <w:hidden/>
    <w:uiPriority w:val="99"/>
    <w:semiHidden/>
    <w:rsid w:val="00B03202"/>
    <w:pPr>
      <w:spacing w:after="0" w:line="240" w:lineRule="auto"/>
    </w:pPr>
  </w:style>
  <w:style w:type="character" w:styleId="UnresolvedMention">
    <w:name w:val="Unresolved Mention"/>
    <w:basedOn w:val="DefaultParagraphFont"/>
    <w:uiPriority w:val="99"/>
    <w:semiHidden/>
    <w:unhideWhenUsed/>
    <w:rsid w:val="00016C24"/>
    <w:rPr>
      <w:color w:val="605E5C"/>
      <w:shd w:val="clear" w:color="auto" w:fill="E1DFDD"/>
    </w:rPr>
  </w:style>
  <w:style w:type="character" w:customStyle="1" w:styleId="Heading7Char">
    <w:name w:val="Heading 7 Char"/>
    <w:basedOn w:val="DefaultParagraphFont"/>
    <w:link w:val="Heading7"/>
    <w:uiPriority w:val="9"/>
    <w:rsid w:val="00A67C4A"/>
    <w:rPr>
      <w:rFonts w:asciiTheme="majorHAnsi" w:eastAsiaTheme="majorEastAsia" w:hAnsiTheme="majorHAnsi" w:cstheme="majorBidi"/>
      <w:i/>
      <w:iCs/>
      <w:color w:val="243F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fiorellato\Documents\Custom%20Office%20Templates\IOTC_WP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322B4-E3A4-40E8-97A7-1C1483B5D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IOTC_WP_template.dotx</Template>
  <TotalTime>48</TotalTime>
  <Pages>5</Pages>
  <Words>2007</Words>
  <Characters>11444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Fiorellato</dc:creator>
  <cp:keywords/>
  <dc:description/>
  <cp:lastModifiedBy>Pierre, Lucia (NFITD)</cp:lastModifiedBy>
  <cp:revision>7</cp:revision>
  <cp:lastPrinted>2023-11-23T16:07:00Z</cp:lastPrinted>
  <dcterms:created xsi:type="dcterms:W3CDTF">2024-11-15T10:30:00Z</dcterms:created>
  <dcterms:modified xsi:type="dcterms:W3CDTF">2024-11-15T11:55:00Z</dcterms:modified>
</cp:coreProperties>
</file>