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X="-289" w:tblpY="1"/>
        <w:tblOverlap w:val="never"/>
        <w:tblW w:w="14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4442"/>
        <w:gridCol w:w="1224"/>
        <w:gridCol w:w="4248"/>
        <w:gridCol w:w="1148"/>
        <w:gridCol w:w="2694"/>
      </w:tblGrid>
      <w:tr w:rsidR="00777992" w:rsidRPr="00783159" w14:paraId="2840495F" w14:textId="77777777" w:rsidTr="00151AD3">
        <w:trPr>
          <w:tblHeader/>
        </w:trPr>
        <w:tc>
          <w:tcPr>
            <w:tcW w:w="1129" w:type="dxa"/>
            <w:shd w:val="clear" w:color="auto" w:fill="B3E5A1" w:themeFill="accent6" w:themeFillTint="66"/>
            <w:vAlign w:val="center"/>
          </w:tcPr>
          <w:p w14:paraId="52667F5E" w14:textId="69A75E6C" w:rsidR="00777992" w:rsidRPr="00783159" w:rsidRDefault="00151AD3" w:rsidP="00151AD3">
            <w:pPr>
              <w:spacing w:after="0"/>
              <w:jc w:val="center"/>
              <w:rPr>
                <w:rFonts w:eastAsia="MS Mincho"/>
                <w:b/>
              </w:rPr>
            </w:pPr>
            <w:r>
              <w:rPr>
                <w:rFonts w:eastAsia="MS Mincho"/>
                <w:b/>
              </w:rPr>
              <w:t>WPDCS19</w:t>
            </w:r>
            <w:r w:rsidR="00777992" w:rsidRPr="00783159">
              <w:rPr>
                <w:rFonts w:eastAsia="MS Mincho"/>
                <w:b/>
              </w:rPr>
              <w:t xml:space="preserve"> Rec. no.</w:t>
            </w:r>
          </w:p>
        </w:tc>
        <w:tc>
          <w:tcPr>
            <w:tcW w:w="4442" w:type="dxa"/>
            <w:shd w:val="clear" w:color="auto" w:fill="B3E5A1" w:themeFill="accent6" w:themeFillTint="66"/>
            <w:vAlign w:val="center"/>
          </w:tcPr>
          <w:p w14:paraId="41311948" w14:textId="77777777" w:rsidR="00777992" w:rsidRPr="00783159" w:rsidRDefault="00777992" w:rsidP="00151AD3">
            <w:pPr>
              <w:spacing w:after="0"/>
              <w:jc w:val="center"/>
              <w:rPr>
                <w:rFonts w:eastAsia="MS Mincho"/>
                <w:b/>
              </w:rPr>
            </w:pPr>
          </w:p>
        </w:tc>
        <w:tc>
          <w:tcPr>
            <w:tcW w:w="1224" w:type="dxa"/>
            <w:shd w:val="clear" w:color="auto" w:fill="E59EDC" w:themeFill="accent5" w:themeFillTint="66"/>
            <w:vAlign w:val="center"/>
          </w:tcPr>
          <w:p w14:paraId="13A3BAB9" w14:textId="5F9BE675" w:rsidR="00777992" w:rsidRPr="002B6532" w:rsidRDefault="00151AD3" w:rsidP="00151AD3">
            <w:pPr>
              <w:spacing w:after="0"/>
              <w:jc w:val="center"/>
              <w:rPr>
                <w:rFonts w:eastAsia="MS Mincho"/>
                <w:b/>
              </w:rPr>
            </w:pPr>
            <w:r>
              <w:rPr>
                <w:rFonts w:eastAsia="MS Mincho"/>
                <w:b/>
              </w:rPr>
              <w:t>SC26</w:t>
            </w:r>
          </w:p>
        </w:tc>
        <w:tc>
          <w:tcPr>
            <w:tcW w:w="4248" w:type="dxa"/>
            <w:shd w:val="clear" w:color="auto" w:fill="E59EDC" w:themeFill="accent5" w:themeFillTint="66"/>
            <w:vAlign w:val="center"/>
          </w:tcPr>
          <w:p w14:paraId="0B3EFD56" w14:textId="3DDF1AE1" w:rsidR="00777992" w:rsidRPr="00783159" w:rsidRDefault="00777992" w:rsidP="00151AD3">
            <w:pPr>
              <w:spacing w:after="0"/>
              <w:jc w:val="center"/>
              <w:rPr>
                <w:rFonts w:eastAsia="MS Mincho"/>
                <w:b/>
              </w:rPr>
            </w:pPr>
            <w:r>
              <w:rPr>
                <w:rFonts w:eastAsia="MS Mincho"/>
                <w:b/>
              </w:rPr>
              <w:t>Response / follow-up</w:t>
            </w:r>
            <w:r w:rsidRPr="00783159">
              <w:rPr>
                <w:rFonts w:eastAsia="MS Mincho"/>
                <w:b/>
              </w:rPr>
              <w:t xml:space="preserve"> by the </w:t>
            </w:r>
            <w:r w:rsidR="00151AD3">
              <w:rPr>
                <w:rFonts w:eastAsia="MS Mincho"/>
                <w:b/>
              </w:rPr>
              <w:t>SC26</w:t>
            </w:r>
          </w:p>
        </w:tc>
        <w:tc>
          <w:tcPr>
            <w:tcW w:w="1148" w:type="dxa"/>
            <w:shd w:val="clear" w:color="auto" w:fill="45B0E1" w:themeFill="accent1" w:themeFillTint="99"/>
            <w:vAlign w:val="center"/>
          </w:tcPr>
          <w:p w14:paraId="0A899394" w14:textId="3B9FCB8A" w:rsidR="00777992" w:rsidRPr="00783159" w:rsidRDefault="00151AD3" w:rsidP="00151AD3">
            <w:pPr>
              <w:spacing w:after="0"/>
              <w:jc w:val="center"/>
              <w:rPr>
                <w:rFonts w:eastAsia="MS Mincho"/>
                <w:b/>
              </w:rPr>
            </w:pPr>
            <w:r>
              <w:rPr>
                <w:rFonts w:eastAsia="MS Mincho"/>
                <w:b/>
              </w:rPr>
              <w:t>S28</w:t>
            </w:r>
          </w:p>
        </w:tc>
        <w:tc>
          <w:tcPr>
            <w:tcW w:w="2694" w:type="dxa"/>
            <w:shd w:val="clear" w:color="auto" w:fill="45B0E1" w:themeFill="accent1" w:themeFillTint="99"/>
            <w:vAlign w:val="center"/>
          </w:tcPr>
          <w:p w14:paraId="5AEF453E" w14:textId="77777777" w:rsidR="00777992" w:rsidRPr="00783159" w:rsidRDefault="00777992" w:rsidP="00151AD3">
            <w:pPr>
              <w:spacing w:after="0"/>
              <w:jc w:val="center"/>
              <w:rPr>
                <w:rFonts w:eastAsia="MS Mincho"/>
                <w:b/>
              </w:rPr>
            </w:pPr>
            <w:r w:rsidRPr="00783159">
              <w:rPr>
                <w:rFonts w:eastAsia="MS Mincho"/>
                <w:b/>
              </w:rPr>
              <w:t>Commission response / suggestions for consideration at WPDCS1</w:t>
            </w:r>
            <w:r>
              <w:rPr>
                <w:rFonts w:eastAsia="MS Mincho"/>
                <w:b/>
              </w:rPr>
              <w:t>9</w:t>
            </w:r>
          </w:p>
        </w:tc>
      </w:tr>
      <w:tr w:rsidR="00777992" w:rsidRPr="00783159" w14:paraId="6032DD6D" w14:textId="77777777" w:rsidTr="00151AD3">
        <w:tc>
          <w:tcPr>
            <w:tcW w:w="1129" w:type="dxa"/>
            <w:shd w:val="clear" w:color="auto" w:fill="D9F2D0" w:themeFill="accent6" w:themeFillTint="33"/>
          </w:tcPr>
          <w:p w14:paraId="454B7FED" w14:textId="624BEB66" w:rsidR="00777992" w:rsidRPr="00783159" w:rsidRDefault="00151AD3" w:rsidP="00151AD3">
            <w:pPr>
              <w:jc w:val="center"/>
              <w:rPr>
                <w:rFonts w:eastAsia="Calibri"/>
                <w:b/>
                <w:bCs/>
                <w:snapToGrid w:val="0"/>
                <w:lang w:val="en-AU"/>
              </w:rPr>
            </w:pPr>
            <w:r>
              <w:rPr>
                <w:rFonts w:eastAsia="Calibri"/>
                <w:b/>
                <w:bCs/>
                <w:lang w:val="en-AU" w:eastAsia="fr-FR"/>
              </w:rPr>
              <w:t>WPDCS19</w:t>
            </w:r>
            <w:r w:rsidR="00777992" w:rsidRPr="00783159">
              <w:rPr>
                <w:rFonts w:eastAsia="Calibri"/>
                <w:b/>
                <w:bCs/>
                <w:lang w:val="en-AU" w:eastAsia="fr-FR"/>
              </w:rPr>
              <w:t xml:space="preserve">.01 (para. </w:t>
            </w:r>
            <w:r w:rsidR="00777992">
              <w:rPr>
                <w:rFonts w:eastAsia="Calibri"/>
                <w:b/>
                <w:bCs/>
                <w:lang w:val="en-AU" w:eastAsia="fr-FR"/>
              </w:rPr>
              <w:t>3</w:t>
            </w:r>
            <w:r>
              <w:rPr>
                <w:rFonts w:eastAsia="Calibri"/>
                <w:b/>
                <w:bCs/>
                <w:lang w:val="en-AU" w:eastAsia="fr-FR"/>
              </w:rPr>
              <w:t>8</w:t>
            </w:r>
            <w:r w:rsidR="00777992" w:rsidRPr="00783159">
              <w:rPr>
                <w:rFonts w:eastAsia="Calibri"/>
                <w:b/>
                <w:bCs/>
                <w:lang w:val="en-AU" w:eastAsia="fr-FR"/>
              </w:rPr>
              <w:t>)</w:t>
            </w:r>
          </w:p>
        </w:tc>
        <w:tc>
          <w:tcPr>
            <w:tcW w:w="4442" w:type="dxa"/>
            <w:shd w:val="clear" w:color="auto" w:fill="D9F2D0" w:themeFill="accent6" w:themeFillTint="33"/>
          </w:tcPr>
          <w:p w14:paraId="7C778CB2" w14:textId="77777777" w:rsidR="00777992" w:rsidRDefault="00777992" w:rsidP="00151AD3">
            <w:pPr>
              <w:rPr>
                <w:b/>
                <w:i/>
              </w:rPr>
            </w:pPr>
            <w:r w:rsidRPr="00FE4FB8">
              <w:rPr>
                <w:b/>
                <w:i/>
              </w:rPr>
              <w:t>Data reporting (to the IOTC Secretariat)</w:t>
            </w:r>
          </w:p>
          <w:p w14:paraId="2B0CA352" w14:textId="77777777" w:rsidR="00151AD3" w:rsidRDefault="00151AD3" w:rsidP="00151AD3">
            <w:r>
              <w:t xml:space="preserve">The WPDCS </w:t>
            </w:r>
            <w:r w:rsidRPr="00151AD3">
              <w:rPr>
                <w:b/>
                <w:bCs/>
              </w:rPr>
              <w:t>RECALLED</w:t>
            </w:r>
            <w:r>
              <w:t xml:space="preserve"> the </w:t>
            </w:r>
            <w:r w:rsidRPr="00151AD3">
              <w:rPr>
                <w:b/>
                <w:bCs/>
              </w:rPr>
              <w:t>RECOMMENDATION</w:t>
            </w:r>
            <w:r>
              <w:t xml:space="preserve"> made at SC25 that “the Commission ENDORSE the mandatory reporting of fishing craft statistics and that this change is included in the next revision of Res. 15/02”, further </w:t>
            </w:r>
            <w:r w:rsidRPr="00151AD3">
              <w:rPr>
                <w:b/>
                <w:bCs/>
              </w:rPr>
              <w:t>RECALLING</w:t>
            </w:r>
            <w:r>
              <w:t xml:space="preserve"> that the Commission </w:t>
            </w:r>
            <w:r w:rsidRPr="00151AD3">
              <w:rPr>
                <w:b/>
                <w:bCs/>
              </w:rPr>
              <w:t>ENDORSED</w:t>
            </w:r>
            <w:r>
              <w:t xml:space="preserve"> the Scientific Committee’s 2022 list of recommendations as its own.</w:t>
            </w:r>
          </w:p>
          <w:p w14:paraId="115D948F" w14:textId="1EE25011" w:rsidR="00777992" w:rsidRPr="00783159" w:rsidRDefault="00151AD3" w:rsidP="00151AD3">
            <w:pPr>
              <w:rPr>
                <w:b/>
                <w:i/>
                <w:lang w:val="en-US" w:eastAsia="fr-FR"/>
              </w:rPr>
            </w:pPr>
            <w:r>
              <w:t xml:space="preserve">Therefore, the WPDCS </w:t>
            </w:r>
            <w:r w:rsidRPr="00151AD3">
              <w:rPr>
                <w:b/>
                <w:bCs/>
              </w:rPr>
              <w:t>REITERATED</w:t>
            </w:r>
            <w:r>
              <w:t xml:space="preserve"> the importance of this issue and </w:t>
            </w:r>
            <w:r w:rsidRPr="00151AD3">
              <w:rPr>
                <w:b/>
                <w:bCs/>
              </w:rPr>
              <w:t>NOTED</w:t>
            </w:r>
            <w:r>
              <w:t xml:space="preserve"> that it has not yet been addressed and therefore should be brought to the attention of the Commission again in 2024.</w:t>
            </w:r>
          </w:p>
        </w:tc>
        <w:tc>
          <w:tcPr>
            <w:tcW w:w="1224" w:type="dxa"/>
            <w:shd w:val="clear" w:color="auto" w:fill="F2CEED" w:themeFill="accent5" w:themeFillTint="33"/>
          </w:tcPr>
          <w:p w14:paraId="4E18EA38" w14:textId="7639DEE5" w:rsidR="00777992" w:rsidRDefault="00151AD3" w:rsidP="00151AD3">
            <w:pPr>
              <w:jc w:val="center"/>
              <w:rPr>
                <w:b/>
                <w:bCs/>
                <w:lang w:val="en-US"/>
              </w:rPr>
            </w:pPr>
            <w:r>
              <w:rPr>
                <w:b/>
                <w:bCs/>
                <w:lang w:val="en-US"/>
              </w:rPr>
              <w:t>SC26</w:t>
            </w:r>
            <w:r w:rsidR="00777992">
              <w:rPr>
                <w:b/>
                <w:bCs/>
                <w:lang w:val="en-US"/>
              </w:rPr>
              <w:t>.2</w:t>
            </w:r>
            <w:r>
              <w:rPr>
                <w:b/>
                <w:bCs/>
                <w:lang w:val="en-US"/>
              </w:rPr>
              <w:t>0</w:t>
            </w:r>
          </w:p>
          <w:p w14:paraId="2CDE4FFE" w14:textId="30C44E1A" w:rsidR="00777992" w:rsidRPr="00783159" w:rsidRDefault="00777992" w:rsidP="00151AD3">
            <w:pPr>
              <w:jc w:val="center"/>
              <w:rPr>
                <w:b/>
                <w:bCs/>
                <w:highlight w:val="yellow"/>
                <w:lang w:val="en-US"/>
              </w:rPr>
            </w:pPr>
            <w:r>
              <w:rPr>
                <w:b/>
                <w:bCs/>
                <w:lang w:val="en-US"/>
              </w:rPr>
              <w:t>(para. 13</w:t>
            </w:r>
            <w:r w:rsidR="00151AD3">
              <w:rPr>
                <w:b/>
                <w:bCs/>
                <w:lang w:val="en-US"/>
              </w:rPr>
              <w:t>8</w:t>
            </w:r>
            <w:r>
              <w:rPr>
                <w:b/>
                <w:bCs/>
                <w:lang w:val="en-US"/>
              </w:rPr>
              <w:t>)</w:t>
            </w:r>
          </w:p>
        </w:tc>
        <w:tc>
          <w:tcPr>
            <w:tcW w:w="4248" w:type="dxa"/>
            <w:shd w:val="clear" w:color="auto" w:fill="F2CEED" w:themeFill="accent5" w:themeFillTint="33"/>
          </w:tcPr>
          <w:p w14:paraId="67AFA175" w14:textId="75F4FB6E" w:rsidR="00777992" w:rsidRDefault="00777992" w:rsidP="00151AD3">
            <w:pPr>
              <w:pStyle w:val="00Numberedparagraph"/>
              <w:numPr>
                <w:ilvl w:val="0"/>
                <w:numId w:val="0"/>
              </w:numPr>
              <w:spacing w:line="257" w:lineRule="auto"/>
              <w:rPr>
                <w:rFonts w:eastAsia="Calibri" w:cs="Calibri"/>
              </w:rPr>
            </w:pPr>
            <w:r w:rsidRPr="00300293">
              <w:rPr>
                <w:b/>
                <w:bCs/>
              </w:rPr>
              <w:t>Update</w:t>
            </w:r>
            <w:r>
              <w:rPr>
                <w:b/>
                <w:bCs/>
              </w:rPr>
              <w:t>s</w:t>
            </w:r>
            <w:r w:rsidRPr="00300293">
              <w:t xml:space="preserve">: </w:t>
            </w:r>
            <w:r w:rsidRPr="378805E7">
              <w:rPr>
                <w:rFonts w:eastAsia="Calibri" w:cs="Calibri"/>
              </w:rPr>
              <w:t xml:space="preserve"> </w:t>
            </w:r>
            <w:r w:rsidR="00151AD3" w:rsidRPr="00151AD3">
              <w:rPr>
                <w:rFonts w:eastAsia="Calibri" w:cs="Calibri"/>
              </w:rPr>
              <w:t xml:space="preserve">The SC </w:t>
            </w:r>
            <w:r w:rsidR="00151AD3" w:rsidRPr="00151AD3">
              <w:rPr>
                <w:rFonts w:eastAsia="Calibri" w:cs="Calibri"/>
                <w:b/>
                <w:bCs/>
              </w:rPr>
              <w:t>ACKNOWLEDGED</w:t>
            </w:r>
            <w:r w:rsidR="00151AD3" w:rsidRPr="00151AD3">
              <w:rPr>
                <w:rFonts w:eastAsia="Calibri" w:cs="Calibri"/>
              </w:rPr>
              <w:t xml:space="preserve"> the request to clarify the issues with data reporting requirements identified with Res. 12/02 and 19/07, as well as the request to change the status of reporting of fishing craft statistics from voluntary to mandatory in Res. 15/02 and </w:t>
            </w:r>
            <w:r w:rsidR="00151AD3" w:rsidRPr="00151AD3">
              <w:rPr>
                <w:rFonts w:eastAsia="Calibri" w:cs="Calibri"/>
                <w:b/>
                <w:bCs/>
              </w:rPr>
              <w:t>RECOMMENDED</w:t>
            </w:r>
            <w:r w:rsidR="00151AD3" w:rsidRPr="00151AD3">
              <w:rPr>
                <w:rFonts w:eastAsia="Calibri" w:cs="Calibri"/>
              </w:rPr>
              <w:t xml:space="preserve"> that the Commission takes these requests in due consideration at the next revision of all concerned resolutions.</w:t>
            </w:r>
          </w:p>
          <w:p w14:paraId="57D1EBB4" w14:textId="77777777" w:rsidR="00777992" w:rsidRPr="00300293" w:rsidRDefault="00777992" w:rsidP="00151AD3"/>
        </w:tc>
        <w:tc>
          <w:tcPr>
            <w:tcW w:w="1148" w:type="dxa"/>
            <w:shd w:val="clear" w:color="auto" w:fill="83CAEB" w:themeFill="accent1" w:themeFillTint="66"/>
          </w:tcPr>
          <w:p w14:paraId="2B4C4F4E" w14:textId="1766E2E0" w:rsidR="00777992" w:rsidRDefault="00777992" w:rsidP="00151AD3">
            <w:pPr>
              <w:spacing w:after="0" w:line="240" w:lineRule="auto"/>
              <w:jc w:val="center"/>
              <w:rPr>
                <w:b/>
                <w:iCs/>
                <w:snapToGrid w:val="0"/>
              </w:rPr>
            </w:pPr>
            <w:r>
              <w:rPr>
                <w:b/>
                <w:iCs/>
                <w:snapToGrid w:val="0"/>
              </w:rPr>
              <w:t>S2</w:t>
            </w:r>
            <w:r w:rsidR="00151AD3">
              <w:rPr>
                <w:b/>
                <w:iCs/>
                <w:snapToGrid w:val="0"/>
              </w:rPr>
              <w:t>8</w:t>
            </w:r>
          </w:p>
          <w:p w14:paraId="298B20EE" w14:textId="2DBCDBC5" w:rsidR="00777992" w:rsidRPr="00783159" w:rsidRDefault="00777992" w:rsidP="00151AD3">
            <w:pPr>
              <w:jc w:val="center"/>
              <w:rPr>
                <w:lang w:val="en-US"/>
              </w:rPr>
            </w:pPr>
            <w:r>
              <w:rPr>
                <w:b/>
                <w:iCs/>
                <w:snapToGrid w:val="0"/>
              </w:rPr>
              <w:t>(para. 3</w:t>
            </w:r>
            <w:r w:rsidR="00151AD3">
              <w:rPr>
                <w:b/>
                <w:iCs/>
                <w:snapToGrid w:val="0"/>
              </w:rPr>
              <w:t>3</w:t>
            </w:r>
            <w:r>
              <w:rPr>
                <w:b/>
                <w:iCs/>
                <w:snapToGrid w:val="0"/>
              </w:rPr>
              <w:t>)</w:t>
            </w:r>
          </w:p>
        </w:tc>
        <w:tc>
          <w:tcPr>
            <w:tcW w:w="2694" w:type="dxa"/>
            <w:shd w:val="clear" w:color="auto" w:fill="83CAEB" w:themeFill="accent1" w:themeFillTint="66"/>
          </w:tcPr>
          <w:p w14:paraId="597B09C6" w14:textId="590C68B9" w:rsidR="00777992" w:rsidRPr="00783159" w:rsidRDefault="00777992" w:rsidP="00151AD3">
            <w:pPr>
              <w:rPr>
                <w:iCs/>
                <w:snapToGrid w:val="0"/>
              </w:rPr>
            </w:pPr>
            <w:r>
              <w:rPr>
                <w:b/>
                <w:iCs/>
                <w:snapToGrid w:val="0"/>
              </w:rPr>
              <w:t>Update:</w:t>
            </w:r>
            <w:r w:rsidRPr="00691593">
              <w:rPr>
                <w:bCs/>
                <w:iCs/>
                <w:snapToGrid w:val="0"/>
              </w:rPr>
              <w:t xml:space="preserve"> </w:t>
            </w:r>
            <w:r w:rsidRPr="007A3ADD">
              <w:t xml:space="preserve"> </w:t>
            </w:r>
            <w:r w:rsidR="00151AD3">
              <w:t xml:space="preserve">The Commission </w:t>
            </w:r>
            <w:r w:rsidR="00151AD3" w:rsidRPr="00151AD3">
              <w:rPr>
                <w:b/>
                <w:bCs/>
              </w:rPr>
              <w:t>NOTED</w:t>
            </w:r>
            <w:r w:rsidR="00151AD3">
              <w:t xml:space="preserve"> that in 2023, the SC endorsed new data reporting forms to enhance clarity and to facilitate the reporting of mandatory fishery statistics as per Resolutions 15/01 and 15/02. The Commission </w:t>
            </w:r>
            <w:r w:rsidR="00151AD3" w:rsidRPr="00151AD3">
              <w:rPr>
                <w:b/>
                <w:bCs/>
              </w:rPr>
              <w:t>NOTED</w:t>
            </w:r>
            <w:r w:rsidR="00151AD3">
              <w:t xml:space="preserve"> two regional workshops have been organized in 2024 to train CPCs in using the new forms. The Commission </w:t>
            </w:r>
            <w:r w:rsidR="00151AD3" w:rsidRPr="00151AD3">
              <w:rPr>
                <w:b/>
                <w:bCs/>
              </w:rPr>
              <w:t>NOTED</w:t>
            </w:r>
            <w:r w:rsidR="00151AD3">
              <w:t xml:space="preserve"> that adaptation to the new reporting forms may require time and </w:t>
            </w:r>
            <w:r w:rsidR="00151AD3" w:rsidRPr="00151AD3">
              <w:rPr>
                <w:b/>
                <w:bCs/>
              </w:rPr>
              <w:t>AGREED</w:t>
            </w:r>
            <w:r w:rsidR="00151AD3">
              <w:t xml:space="preserve"> that implementation should start in 2025</w:t>
            </w:r>
          </w:p>
        </w:tc>
      </w:tr>
      <w:tr w:rsidR="00777992" w:rsidRPr="00783159" w14:paraId="519A29CE" w14:textId="77777777" w:rsidTr="00151AD3">
        <w:tc>
          <w:tcPr>
            <w:tcW w:w="1129" w:type="dxa"/>
            <w:shd w:val="clear" w:color="auto" w:fill="D9F2D0" w:themeFill="accent6" w:themeFillTint="33"/>
          </w:tcPr>
          <w:p w14:paraId="1A65790A" w14:textId="0F689889" w:rsidR="00777992" w:rsidRPr="00783159" w:rsidRDefault="00151AD3" w:rsidP="00151AD3">
            <w:pPr>
              <w:jc w:val="center"/>
              <w:rPr>
                <w:rFonts w:eastAsia="Calibri"/>
                <w:b/>
                <w:bCs/>
                <w:lang w:val="en-AU" w:eastAsia="fr-FR"/>
              </w:rPr>
            </w:pPr>
            <w:r>
              <w:rPr>
                <w:rFonts w:eastAsia="Calibri"/>
                <w:b/>
                <w:bCs/>
                <w:lang w:val="en-AU" w:eastAsia="fr-FR"/>
              </w:rPr>
              <w:t>WPDCS19</w:t>
            </w:r>
            <w:r w:rsidR="00777992" w:rsidRPr="00783159">
              <w:rPr>
                <w:rFonts w:eastAsia="Calibri"/>
                <w:b/>
                <w:bCs/>
                <w:lang w:val="en-AU" w:eastAsia="fr-FR"/>
              </w:rPr>
              <w:t>.02 (para.</w:t>
            </w:r>
            <w:r w:rsidR="00777992">
              <w:rPr>
                <w:rFonts w:eastAsia="Calibri"/>
                <w:b/>
                <w:bCs/>
                <w:lang w:val="en-AU" w:eastAsia="fr-FR"/>
              </w:rPr>
              <w:t xml:space="preserve"> </w:t>
            </w:r>
            <w:r>
              <w:rPr>
                <w:rFonts w:eastAsia="Calibri"/>
                <w:b/>
                <w:bCs/>
                <w:lang w:val="en-AU" w:eastAsia="fr-FR"/>
              </w:rPr>
              <w:t>101</w:t>
            </w:r>
            <w:r w:rsidR="00777992" w:rsidRPr="00783159">
              <w:rPr>
                <w:rFonts w:eastAsia="Calibri"/>
                <w:b/>
                <w:bCs/>
                <w:lang w:val="en-AU" w:eastAsia="fr-FR"/>
              </w:rPr>
              <w:t>)</w:t>
            </w:r>
          </w:p>
        </w:tc>
        <w:tc>
          <w:tcPr>
            <w:tcW w:w="4442" w:type="dxa"/>
            <w:shd w:val="clear" w:color="auto" w:fill="D9F2D0" w:themeFill="accent6" w:themeFillTint="33"/>
          </w:tcPr>
          <w:p w14:paraId="41E13153" w14:textId="77777777" w:rsidR="00777992" w:rsidRDefault="00777992" w:rsidP="00151AD3">
            <w:pPr>
              <w:rPr>
                <w:b/>
                <w:i/>
              </w:rPr>
            </w:pPr>
            <w:r w:rsidRPr="00FE4FB8">
              <w:rPr>
                <w:b/>
                <w:i/>
              </w:rPr>
              <w:t>Data reporting (to the IOTC Secretariat)</w:t>
            </w:r>
          </w:p>
          <w:p w14:paraId="6ADF0E8D" w14:textId="77777777" w:rsidR="00151AD3" w:rsidRPr="00151AD3" w:rsidRDefault="00151AD3" w:rsidP="00151AD3">
            <w:pPr>
              <w:rPr>
                <w:bCs/>
                <w:iCs/>
              </w:rPr>
            </w:pPr>
            <w:r w:rsidRPr="00151AD3">
              <w:rPr>
                <w:bCs/>
                <w:iCs/>
              </w:rPr>
              <w:t xml:space="preserve">Following the discussions and endorsements on data-reporting aspects discussed so far, the WPDCS </w:t>
            </w:r>
            <w:r w:rsidRPr="00151AD3">
              <w:rPr>
                <w:b/>
                <w:iCs/>
              </w:rPr>
              <w:lastRenderedPageBreak/>
              <w:t>RECOMMENDED</w:t>
            </w:r>
            <w:r w:rsidRPr="00151AD3">
              <w:rPr>
                <w:bCs/>
                <w:iCs/>
              </w:rPr>
              <w:t xml:space="preserve"> that the Scientific Committee: a) endorse the proposed updates to the IOTC data submission processes, and namely:</w:t>
            </w:r>
          </w:p>
          <w:p w14:paraId="0A3E2E96" w14:textId="77777777" w:rsidR="00151AD3" w:rsidRPr="00151AD3" w:rsidRDefault="00151AD3" w:rsidP="00151AD3">
            <w:pPr>
              <w:rPr>
                <w:bCs/>
                <w:iCs/>
              </w:rPr>
            </w:pPr>
            <w:r w:rsidRPr="00151AD3">
              <w:rPr>
                <w:bCs/>
                <w:iCs/>
              </w:rPr>
              <w:t>•</w:t>
            </w:r>
            <w:r w:rsidRPr="00151AD3">
              <w:rPr>
                <w:bCs/>
                <w:iCs/>
              </w:rPr>
              <w:tab/>
              <w:t>the introduction of Form 3-DA / 3-DA-multiple for the reporting of detailed activities on drifting FOBs</w:t>
            </w:r>
          </w:p>
          <w:p w14:paraId="0E8DF19C" w14:textId="77777777" w:rsidR="00151AD3" w:rsidRPr="00151AD3" w:rsidRDefault="00151AD3" w:rsidP="00151AD3">
            <w:pPr>
              <w:rPr>
                <w:bCs/>
                <w:iCs/>
              </w:rPr>
            </w:pPr>
            <w:r w:rsidRPr="00151AD3">
              <w:rPr>
                <w:bCs/>
                <w:iCs/>
              </w:rPr>
              <w:t>•</w:t>
            </w:r>
            <w:r w:rsidRPr="00151AD3">
              <w:rPr>
                <w:bCs/>
                <w:iCs/>
              </w:rPr>
              <w:tab/>
              <w:t>the introduction of Form 3-AA / 3-AA-mutiple for the reporting of detailed activities on AFADs</w:t>
            </w:r>
          </w:p>
          <w:p w14:paraId="767A9B3A" w14:textId="77777777" w:rsidR="00151AD3" w:rsidRPr="00151AD3" w:rsidRDefault="00151AD3" w:rsidP="00151AD3">
            <w:pPr>
              <w:rPr>
                <w:bCs/>
                <w:iCs/>
              </w:rPr>
            </w:pPr>
            <w:r w:rsidRPr="00151AD3">
              <w:rPr>
                <w:bCs/>
                <w:iCs/>
              </w:rPr>
              <w:t>•</w:t>
            </w:r>
            <w:r w:rsidRPr="00151AD3">
              <w:rPr>
                <w:bCs/>
                <w:iCs/>
              </w:rPr>
              <w:tab/>
              <w:t>the decommissioning of the old, recommended forms 3-AR, 3-FA, 3-SU, and 1-RC-YFT</w:t>
            </w:r>
          </w:p>
          <w:p w14:paraId="58A1EAB1" w14:textId="77777777" w:rsidR="00151AD3" w:rsidRPr="00151AD3" w:rsidRDefault="00151AD3" w:rsidP="00151AD3">
            <w:pPr>
              <w:rPr>
                <w:bCs/>
                <w:iCs/>
              </w:rPr>
            </w:pPr>
            <w:r w:rsidRPr="00151AD3">
              <w:rPr>
                <w:bCs/>
                <w:iCs/>
              </w:rPr>
              <w:t>•</w:t>
            </w:r>
            <w:r w:rsidRPr="00151AD3">
              <w:rPr>
                <w:bCs/>
                <w:iCs/>
              </w:rPr>
              <w:tab/>
              <w:t>that the ad interim data reporting workflow and the accompanying electronic tools and formats (interactive validators, ad interim forms, etc.) become mandatory for the submission of statistical fisheries data to the IOTC starting with the 2024 reporting cycle (deadline of 30 June 2024)</w:t>
            </w:r>
          </w:p>
          <w:p w14:paraId="56B5746C" w14:textId="77777777" w:rsidR="00151AD3" w:rsidRPr="00151AD3" w:rsidRDefault="00151AD3" w:rsidP="00151AD3">
            <w:pPr>
              <w:rPr>
                <w:bCs/>
                <w:iCs/>
              </w:rPr>
            </w:pPr>
            <w:r w:rsidRPr="00151AD3">
              <w:rPr>
                <w:bCs/>
                <w:iCs/>
              </w:rPr>
              <w:t>•</w:t>
            </w:r>
            <w:r w:rsidRPr="00151AD3">
              <w:rPr>
                <w:bCs/>
                <w:iCs/>
              </w:rPr>
              <w:tab/>
              <w:t xml:space="preserve">that the study on the matrix approach for the characterisation of IOTC fisheries is further extended to cover all IOTC coastal nations and their fisheries, and that outputs </w:t>
            </w:r>
            <w:r w:rsidRPr="00151AD3">
              <w:rPr>
                <w:bCs/>
                <w:iCs/>
              </w:rPr>
              <w:lastRenderedPageBreak/>
              <w:t>of the study are presented to the next session of the meeting</w:t>
            </w:r>
          </w:p>
          <w:p w14:paraId="0A403133" w14:textId="77777777" w:rsidR="00151AD3" w:rsidRPr="00151AD3" w:rsidRDefault="00151AD3" w:rsidP="00151AD3">
            <w:pPr>
              <w:rPr>
                <w:bCs/>
                <w:iCs/>
              </w:rPr>
            </w:pPr>
            <w:r w:rsidRPr="00151AD3">
              <w:rPr>
                <w:bCs/>
                <w:iCs/>
              </w:rPr>
              <w:t>•</w:t>
            </w:r>
            <w:r w:rsidRPr="00151AD3">
              <w:rPr>
                <w:bCs/>
                <w:iCs/>
              </w:rPr>
              <w:tab/>
              <w:t>that ROS data be exclusively submitted through the consolidated ROS Excel data reporting forms or as .ros files, for those CPCs using the ROS electronic data collection tools</w:t>
            </w:r>
          </w:p>
          <w:p w14:paraId="772E1BEF" w14:textId="314A0595" w:rsidR="00777992" w:rsidRPr="005D0E32" w:rsidRDefault="00151AD3" w:rsidP="00151AD3">
            <w:pPr>
              <w:rPr>
                <w:bCs/>
                <w:iCs/>
                <w:snapToGrid w:val="0"/>
                <w:kern w:val="1"/>
              </w:rPr>
            </w:pPr>
            <w:r w:rsidRPr="00151AD3">
              <w:rPr>
                <w:bCs/>
                <w:iCs/>
              </w:rPr>
              <w:t>and b) further clarify the issues identified within Res. 12/02 and 19/07 that have an impact on the collection, reporting, and dissemination of IOTC datasets.</w:t>
            </w:r>
          </w:p>
        </w:tc>
        <w:tc>
          <w:tcPr>
            <w:tcW w:w="1224" w:type="dxa"/>
            <w:shd w:val="clear" w:color="auto" w:fill="F2CEED" w:themeFill="accent5" w:themeFillTint="33"/>
          </w:tcPr>
          <w:p w14:paraId="3EF29769" w14:textId="60D7604C" w:rsidR="00777992" w:rsidRDefault="00151AD3" w:rsidP="00151AD3">
            <w:pPr>
              <w:jc w:val="center"/>
              <w:rPr>
                <w:b/>
                <w:bCs/>
                <w:lang w:val="en-US"/>
              </w:rPr>
            </w:pPr>
            <w:r>
              <w:rPr>
                <w:b/>
                <w:bCs/>
                <w:lang w:val="en-US"/>
              </w:rPr>
              <w:lastRenderedPageBreak/>
              <w:t>SC26</w:t>
            </w:r>
            <w:r w:rsidR="00777992">
              <w:rPr>
                <w:b/>
                <w:bCs/>
                <w:lang w:val="en-US"/>
              </w:rPr>
              <w:t>.23</w:t>
            </w:r>
          </w:p>
          <w:p w14:paraId="7BA76D15" w14:textId="7BCDD28B" w:rsidR="00777992" w:rsidRDefault="00777992" w:rsidP="00151AD3">
            <w:pPr>
              <w:jc w:val="center"/>
              <w:rPr>
                <w:b/>
                <w:bCs/>
                <w:lang w:val="en-US"/>
              </w:rPr>
            </w:pPr>
            <w:r>
              <w:rPr>
                <w:b/>
                <w:bCs/>
                <w:lang w:val="en-US"/>
              </w:rPr>
              <w:t>(para. 13</w:t>
            </w:r>
            <w:r w:rsidR="00151AD3">
              <w:rPr>
                <w:b/>
                <w:bCs/>
                <w:lang w:val="en-US"/>
              </w:rPr>
              <w:t>7</w:t>
            </w:r>
            <w:r>
              <w:rPr>
                <w:b/>
                <w:bCs/>
                <w:lang w:val="en-US"/>
              </w:rPr>
              <w:t xml:space="preserve">) </w:t>
            </w:r>
          </w:p>
          <w:p w14:paraId="5C6CCC91" w14:textId="77777777" w:rsidR="00777992" w:rsidRDefault="00777992" w:rsidP="00151AD3">
            <w:pPr>
              <w:jc w:val="center"/>
              <w:rPr>
                <w:b/>
                <w:bCs/>
                <w:lang w:val="en-US"/>
              </w:rPr>
            </w:pPr>
          </w:p>
          <w:p w14:paraId="6773A792" w14:textId="58CF6E7E" w:rsidR="00777992" w:rsidRPr="00783159" w:rsidRDefault="00777992" w:rsidP="00151AD3">
            <w:pPr>
              <w:jc w:val="center"/>
              <w:rPr>
                <w:b/>
                <w:bCs/>
                <w:lang w:val="en-US"/>
              </w:rPr>
            </w:pPr>
          </w:p>
        </w:tc>
        <w:tc>
          <w:tcPr>
            <w:tcW w:w="4248" w:type="dxa"/>
            <w:shd w:val="clear" w:color="auto" w:fill="F2CEED" w:themeFill="accent5" w:themeFillTint="33"/>
          </w:tcPr>
          <w:p w14:paraId="6D93E0D2" w14:textId="5121040E" w:rsidR="00151AD3" w:rsidRPr="00151AD3" w:rsidRDefault="00777992" w:rsidP="00A06942">
            <w:pPr>
              <w:pStyle w:val="00Numberedparagraph"/>
              <w:numPr>
                <w:ilvl w:val="0"/>
                <w:numId w:val="0"/>
              </w:numPr>
              <w:spacing w:line="257" w:lineRule="auto"/>
              <w:rPr>
                <w:rFonts w:eastAsia="Calibri" w:cs="Calibri"/>
              </w:rPr>
            </w:pPr>
            <w:r w:rsidRPr="00300293">
              <w:rPr>
                <w:b/>
                <w:bCs/>
              </w:rPr>
              <w:lastRenderedPageBreak/>
              <w:t>Update</w:t>
            </w:r>
            <w:r>
              <w:rPr>
                <w:b/>
                <w:bCs/>
              </w:rPr>
              <w:t>s</w:t>
            </w:r>
            <w:r w:rsidRPr="00300293">
              <w:t xml:space="preserve">: </w:t>
            </w:r>
            <w:r w:rsidRPr="378805E7">
              <w:rPr>
                <w:rFonts w:eastAsia="Calibri" w:cs="Calibri"/>
              </w:rPr>
              <w:t xml:space="preserve"> </w:t>
            </w:r>
            <w:r w:rsidR="00151AD3" w:rsidRPr="00151AD3">
              <w:rPr>
                <w:rFonts w:eastAsia="Calibri" w:cs="Calibri"/>
              </w:rPr>
              <w:t xml:space="preserve">The SC </w:t>
            </w:r>
            <w:r w:rsidR="00151AD3" w:rsidRPr="00151AD3">
              <w:rPr>
                <w:rFonts w:eastAsia="Calibri" w:cs="Calibri"/>
                <w:b/>
                <w:bCs/>
              </w:rPr>
              <w:t>ENDORSED</w:t>
            </w:r>
            <w:r w:rsidR="00151AD3" w:rsidRPr="00151AD3">
              <w:rPr>
                <w:rFonts w:eastAsia="Calibri" w:cs="Calibri"/>
              </w:rPr>
              <w:t xml:space="preserve"> the proposed updates to the IOTC data submission processes, and more specifically: </w:t>
            </w:r>
          </w:p>
          <w:p w14:paraId="5D24D9FD" w14:textId="77777777" w:rsidR="00151AD3" w:rsidRPr="00151AD3" w:rsidRDefault="00151AD3" w:rsidP="00151AD3">
            <w:pPr>
              <w:pStyle w:val="00Numberedparagraph"/>
              <w:numPr>
                <w:ilvl w:val="0"/>
                <w:numId w:val="0"/>
              </w:numPr>
              <w:spacing w:line="257" w:lineRule="auto"/>
              <w:ind w:left="720" w:hanging="360"/>
              <w:rPr>
                <w:rFonts w:eastAsia="Calibri" w:cs="Calibri"/>
              </w:rPr>
            </w:pPr>
            <w:r w:rsidRPr="00151AD3">
              <w:rPr>
                <w:rFonts w:eastAsia="Calibri" w:cs="Calibri"/>
              </w:rPr>
              <w:lastRenderedPageBreak/>
              <w:t>a.</w:t>
            </w:r>
            <w:r w:rsidRPr="00151AD3">
              <w:rPr>
                <w:rFonts w:eastAsia="Calibri" w:cs="Calibri"/>
              </w:rPr>
              <w:tab/>
              <w:t>the introduction of Form 3-DA and 3-AA</w:t>
            </w:r>
          </w:p>
          <w:p w14:paraId="69CBA8EE" w14:textId="77777777" w:rsidR="00151AD3" w:rsidRPr="00151AD3" w:rsidRDefault="00151AD3" w:rsidP="00151AD3">
            <w:pPr>
              <w:pStyle w:val="00Numberedparagraph"/>
              <w:numPr>
                <w:ilvl w:val="0"/>
                <w:numId w:val="0"/>
              </w:numPr>
              <w:spacing w:line="257" w:lineRule="auto"/>
              <w:ind w:left="720" w:hanging="360"/>
              <w:rPr>
                <w:rFonts w:eastAsia="Calibri" w:cs="Calibri"/>
              </w:rPr>
            </w:pPr>
            <w:r w:rsidRPr="00151AD3">
              <w:rPr>
                <w:rFonts w:eastAsia="Calibri" w:cs="Calibri"/>
              </w:rPr>
              <w:t>b.</w:t>
            </w:r>
            <w:r w:rsidRPr="00151AD3">
              <w:rPr>
                <w:rFonts w:eastAsia="Calibri" w:cs="Calibri"/>
              </w:rPr>
              <w:tab/>
              <w:t>the decommissioning of Form 3-AR, 3-FA, 3-SU, and 1-RC-YFT</w:t>
            </w:r>
          </w:p>
          <w:p w14:paraId="451CB37D" w14:textId="77777777" w:rsidR="00151AD3" w:rsidRPr="00151AD3" w:rsidRDefault="00151AD3" w:rsidP="00151AD3">
            <w:pPr>
              <w:pStyle w:val="00Numberedparagraph"/>
              <w:numPr>
                <w:ilvl w:val="0"/>
                <w:numId w:val="0"/>
              </w:numPr>
              <w:spacing w:line="257" w:lineRule="auto"/>
              <w:ind w:left="720" w:hanging="360"/>
              <w:rPr>
                <w:rFonts w:eastAsia="Calibri" w:cs="Calibri"/>
              </w:rPr>
            </w:pPr>
            <w:r w:rsidRPr="00151AD3">
              <w:rPr>
                <w:rFonts w:eastAsia="Calibri" w:cs="Calibri"/>
              </w:rPr>
              <w:t>c.</w:t>
            </w:r>
            <w:r w:rsidRPr="00151AD3">
              <w:rPr>
                <w:rFonts w:eastAsia="Calibri" w:cs="Calibri"/>
              </w:rPr>
              <w:tab/>
              <w:t>the entry into force of the ad-interim data reporting workflow and supporting tools starting with the 2024 data reporting cycle (i.e., by the deadline of 30 June 2024)</w:t>
            </w:r>
          </w:p>
          <w:p w14:paraId="73211FD7" w14:textId="77777777" w:rsidR="00151AD3" w:rsidRDefault="00151AD3" w:rsidP="00151AD3">
            <w:pPr>
              <w:pStyle w:val="00Numberedparagraph"/>
              <w:numPr>
                <w:ilvl w:val="0"/>
                <w:numId w:val="0"/>
              </w:numPr>
              <w:spacing w:line="257" w:lineRule="auto"/>
              <w:ind w:left="720" w:hanging="360"/>
              <w:rPr>
                <w:rFonts w:eastAsia="Calibri" w:cs="Calibri"/>
              </w:rPr>
            </w:pPr>
            <w:r w:rsidRPr="00151AD3">
              <w:rPr>
                <w:rFonts w:eastAsia="Calibri" w:cs="Calibri"/>
              </w:rPr>
              <w:t>d.</w:t>
            </w:r>
            <w:r w:rsidRPr="00151AD3">
              <w:rPr>
                <w:rFonts w:eastAsia="Calibri" w:cs="Calibri"/>
              </w:rPr>
              <w:tab/>
              <w:t>that the trial of the FAO matrix approach for the characterisation of IOTC fisheries are extended to cover all Indian Ocean fisheries</w:t>
            </w:r>
          </w:p>
          <w:p w14:paraId="56279BE3" w14:textId="218E8215" w:rsidR="00777992" w:rsidRDefault="00151AD3" w:rsidP="00151AD3">
            <w:pPr>
              <w:pStyle w:val="00Numberedparagraph"/>
              <w:numPr>
                <w:ilvl w:val="0"/>
                <w:numId w:val="0"/>
              </w:numPr>
              <w:spacing w:line="257" w:lineRule="auto"/>
              <w:ind w:left="720" w:hanging="360"/>
              <w:rPr>
                <w:rFonts w:eastAsia="Calibri" w:cs="Calibri"/>
              </w:rPr>
            </w:pPr>
            <w:r w:rsidRPr="00151AD3">
              <w:rPr>
                <w:rFonts w:eastAsia="Calibri" w:cs="Calibri"/>
              </w:rPr>
              <w:t>e.</w:t>
            </w:r>
            <w:r w:rsidRPr="00151AD3">
              <w:rPr>
                <w:rFonts w:eastAsia="Calibri" w:cs="Calibri"/>
              </w:rPr>
              <w:tab/>
              <w:t>that ROS data be reported to the IOTC exclusively through the consolidated ROS Excel data reporting forms or as .ros files produced by the ROS electronic data collection tools.</w:t>
            </w:r>
          </w:p>
          <w:p w14:paraId="7B43F0D8" w14:textId="77777777" w:rsidR="00777992" w:rsidRDefault="00777992" w:rsidP="00151AD3">
            <w:pPr>
              <w:pStyle w:val="00Numberedparagraph"/>
              <w:numPr>
                <w:ilvl w:val="0"/>
                <w:numId w:val="0"/>
              </w:numPr>
              <w:spacing w:line="257" w:lineRule="auto"/>
              <w:rPr>
                <w:rFonts w:eastAsia="Calibri" w:cs="Calibri"/>
              </w:rPr>
            </w:pPr>
          </w:p>
          <w:p w14:paraId="787B8D78" w14:textId="77777777" w:rsidR="00777992" w:rsidRDefault="00777992" w:rsidP="00151AD3">
            <w:pPr>
              <w:spacing w:after="0"/>
              <w:rPr>
                <w:b/>
                <w:iCs/>
              </w:rPr>
            </w:pPr>
          </w:p>
          <w:p w14:paraId="36EF304D" w14:textId="77777777" w:rsidR="00777992" w:rsidRPr="00B43F11" w:rsidRDefault="00777992" w:rsidP="00151AD3">
            <w:pPr>
              <w:spacing w:after="0"/>
              <w:rPr>
                <w:b/>
                <w:iCs/>
              </w:rPr>
            </w:pPr>
          </w:p>
        </w:tc>
        <w:tc>
          <w:tcPr>
            <w:tcW w:w="1148" w:type="dxa"/>
            <w:shd w:val="clear" w:color="auto" w:fill="83CAEB" w:themeFill="accent1" w:themeFillTint="66"/>
          </w:tcPr>
          <w:p w14:paraId="111CCF9E" w14:textId="50308F44" w:rsidR="00777992" w:rsidRDefault="00151AD3" w:rsidP="00151AD3">
            <w:pPr>
              <w:spacing w:after="0" w:line="240" w:lineRule="auto"/>
              <w:jc w:val="center"/>
              <w:rPr>
                <w:b/>
                <w:iCs/>
                <w:snapToGrid w:val="0"/>
              </w:rPr>
            </w:pPr>
            <w:r>
              <w:rPr>
                <w:b/>
                <w:iCs/>
                <w:snapToGrid w:val="0"/>
              </w:rPr>
              <w:lastRenderedPageBreak/>
              <w:t>S28</w:t>
            </w:r>
          </w:p>
          <w:p w14:paraId="1955AB7B" w14:textId="25F3899F" w:rsidR="00777992" w:rsidRPr="00783159" w:rsidRDefault="00777992" w:rsidP="00151AD3">
            <w:pPr>
              <w:jc w:val="center"/>
              <w:rPr>
                <w:lang w:val="en-US"/>
              </w:rPr>
            </w:pPr>
            <w:r>
              <w:rPr>
                <w:b/>
                <w:iCs/>
                <w:snapToGrid w:val="0"/>
              </w:rPr>
              <w:t>(</w:t>
            </w:r>
            <w:r w:rsidR="00151AD3">
              <w:rPr>
                <w:b/>
                <w:iCs/>
                <w:snapToGrid w:val="0"/>
              </w:rPr>
              <w:t>para. 28</w:t>
            </w:r>
            <w:r>
              <w:rPr>
                <w:b/>
                <w:iCs/>
                <w:snapToGrid w:val="0"/>
              </w:rPr>
              <w:t>)</w:t>
            </w:r>
          </w:p>
        </w:tc>
        <w:tc>
          <w:tcPr>
            <w:tcW w:w="2694" w:type="dxa"/>
            <w:shd w:val="clear" w:color="auto" w:fill="83CAEB" w:themeFill="accent1" w:themeFillTint="66"/>
          </w:tcPr>
          <w:p w14:paraId="06A04150" w14:textId="4CB3C978" w:rsidR="00777992" w:rsidRDefault="00777992" w:rsidP="00151AD3">
            <w:r>
              <w:rPr>
                <w:b/>
                <w:iCs/>
                <w:snapToGrid w:val="0"/>
              </w:rPr>
              <w:t>Update:</w:t>
            </w:r>
            <w:r w:rsidRPr="00691593">
              <w:rPr>
                <w:bCs/>
                <w:iCs/>
                <w:snapToGrid w:val="0"/>
              </w:rPr>
              <w:t xml:space="preserve"> </w:t>
            </w:r>
            <w:r w:rsidRPr="007A3ADD">
              <w:t xml:space="preserve"> The Commission </w:t>
            </w:r>
            <w:r w:rsidRPr="007A3ADD">
              <w:rPr>
                <w:b/>
              </w:rPr>
              <w:t>ENDORSED</w:t>
            </w:r>
            <w:r w:rsidRPr="007A3ADD">
              <w:t xml:space="preserve"> the Scientific Committee’s 202</w:t>
            </w:r>
            <w:r w:rsidR="00151AD3">
              <w:t>3</w:t>
            </w:r>
            <w:r w:rsidRPr="007A3ADD">
              <w:t xml:space="preserve"> list of </w:t>
            </w:r>
            <w:r w:rsidRPr="007A3ADD">
              <w:lastRenderedPageBreak/>
              <w:t>recommendations as its own.</w:t>
            </w:r>
          </w:p>
          <w:p w14:paraId="20E6CED9" w14:textId="2844E719" w:rsidR="00777992" w:rsidRPr="00783159" w:rsidRDefault="00777992" w:rsidP="00151AD3">
            <w:pPr>
              <w:rPr>
                <w:b/>
                <w:iCs/>
                <w:snapToGrid w:val="0"/>
              </w:rPr>
            </w:pPr>
          </w:p>
        </w:tc>
      </w:tr>
      <w:tr w:rsidR="00777992" w:rsidRPr="00783159" w14:paraId="36656198" w14:textId="77777777" w:rsidTr="00151AD3">
        <w:tc>
          <w:tcPr>
            <w:tcW w:w="1129" w:type="dxa"/>
            <w:shd w:val="clear" w:color="auto" w:fill="D9F2D0" w:themeFill="accent6" w:themeFillTint="33"/>
          </w:tcPr>
          <w:p w14:paraId="2242AEE9" w14:textId="07BB4AB6" w:rsidR="00777992" w:rsidRPr="00783159" w:rsidRDefault="00151AD3" w:rsidP="00151AD3">
            <w:pPr>
              <w:jc w:val="center"/>
              <w:rPr>
                <w:rFonts w:eastAsia="Calibri"/>
                <w:b/>
                <w:bCs/>
                <w:lang w:val="en-AU" w:eastAsia="fr-FR"/>
              </w:rPr>
            </w:pPr>
            <w:r>
              <w:rPr>
                <w:rFonts w:eastAsia="Calibri"/>
                <w:b/>
                <w:bCs/>
                <w:lang w:val="en-AU" w:eastAsia="fr-FR"/>
              </w:rPr>
              <w:lastRenderedPageBreak/>
              <w:t>WPDCS19</w:t>
            </w:r>
            <w:r w:rsidR="00777992" w:rsidRPr="00783159">
              <w:rPr>
                <w:rFonts w:eastAsia="Calibri"/>
                <w:b/>
                <w:bCs/>
                <w:lang w:val="en-AU" w:eastAsia="fr-FR"/>
              </w:rPr>
              <w:t xml:space="preserve">.03 (para. </w:t>
            </w:r>
            <w:r w:rsidR="00A06942">
              <w:rPr>
                <w:rFonts w:eastAsia="Calibri"/>
                <w:b/>
                <w:bCs/>
                <w:lang w:val="en-AU" w:eastAsia="fr-FR"/>
              </w:rPr>
              <w:t>220</w:t>
            </w:r>
            <w:r w:rsidR="00777992" w:rsidRPr="00783159">
              <w:rPr>
                <w:rFonts w:eastAsia="Calibri"/>
                <w:b/>
                <w:bCs/>
                <w:lang w:val="en-AU" w:eastAsia="fr-FR"/>
              </w:rPr>
              <w:t>)</w:t>
            </w:r>
          </w:p>
        </w:tc>
        <w:tc>
          <w:tcPr>
            <w:tcW w:w="4442" w:type="dxa"/>
            <w:shd w:val="clear" w:color="auto" w:fill="D9F2D0" w:themeFill="accent6" w:themeFillTint="33"/>
          </w:tcPr>
          <w:p w14:paraId="733CE9C6" w14:textId="392D2CD6" w:rsidR="00777992" w:rsidRDefault="00A06942" w:rsidP="00151AD3">
            <w:pPr>
              <w:rPr>
                <w:b/>
                <w:i/>
              </w:rPr>
            </w:pPr>
            <w:r w:rsidRPr="00A06942">
              <w:rPr>
                <w:b/>
                <w:i/>
              </w:rPr>
              <w:t xml:space="preserve">Overview of data processing procedures and proposed revisions of historical data </w:t>
            </w:r>
            <w:r w:rsidR="00777992">
              <w:rPr>
                <w:b/>
                <w:i/>
              </w:rPr>
              <w:t>(to the Secretariat)</w:t>
            </w:r>
          </w:p>
          <w:p w14:paraId="5F9CDF47" w14:textId="77777777" w:rsidR="00A06942" w:rsidRDefault="00A06942" w:rsidP="00A06942">
            <w:r>
              <w:t xml:space="preserve">The WPDCS </w:t>
            </w:r>
            <w:r w:rsidRPr="00A06942">
              <w:rPr>
                <w:b/>
                <w:bCs/>
              </w:rPr>
              <w:t xml:space="preserve">NOTED </w:t>
            </w:r>
            <w:r>
              <w:t xml:space="preserve">the improvements made in the quality of the estimated data (e.g., reduction in volatility for some species such as bullet tuna and blue shark) and </w:t>
            </w:r>
            <w:r w:rsidRPr="00A06942">
              <w:rPr>
                <w:b/>
                <w:bCs/>
              </w:rPr>
              <w:t>ACKNOWLEDGED</w:t>
            </w:r>
            <w:r>
              <w:t xml:space="preserve"> that the updates of official catches better reflect the status of the catches in Indonesian fisheries as they provide an accurate separation of artisanal and industrial fisheries according to IOTC definitions.</w:t>
            </w:r>
          </w:p>
          <w:p w14:paraId="202EA307" w14:textId="77777777" w:rsidR="00A06942" w:rsidRDefault="00A06942" w:rsidP="00A06942">
            <w:r>
              <w:lastRenderedPageBreak/>
              <w:t xml:space="preserve">Nevertheless, the WPDCS </w:t>
            </w:r>
            <w:r w:rsidRPr="00A06942">
              <w:rPr>
                <w:b/>
                <w:bCs/>
              </w:rPr>
              <w:t>NOTED</w:t>
            </w:r>
            <w:r>
              <w:t xml:space="preserve"> that there are still issues in some of the species-specific reconstructed historical time-series of catches (2010-2021) that require further analysis: i) large inter-annual fluctuations, ii) discrepancies in scaling, and iii) potential errors in the input data used for some years (e.g., 2018).</w:t>
            </w:r>
          </w:p>
          <w:p w14:paraId="3830FD2A" w14:textId="77777777" w:rsidR="00A06942" w:rsidRDefault="00A06942" w:rsidP="00A06942">
            <w:r>
              <w:t xml:space="preserve">The WPDCS </w:t>
            </w:r>
            <w:r w:rsidRPr="00A06942">
              <w:rPr>
                <w:b/>
                <w:bCs/>
              </w:rPr>
              <w:t>ENCOURAGED</w:t>
            </w:r>
            <w:r>
              <w:t xml:space="preserve"> Indonesia to identify the root causes explaining the identified issues and seek support from the Secretariat to further progress on their resolution.</w:t>
            </w:r>
          </w:p>
          <w:p w14:paraId="4A6D01E2" w14:textId="77777777" w:rsidR="00A06942" w:rsidRDefault="00A06942" w:rsidP="00A06942">
            <w:r>
              <w:t xml:space="preserve">The WPDCS </w:t>
            </w:r>
            <w:r w:rsidRPr="00A06942">
              <w:rPr>
                <w:b/>
                <w:bCs/>
              </w:rPr>
              <w:t>RECOMMENDED</w:t>
            </w:r>
            <w:r>
              <w:t xml:space="preserve"> that the SC provide general guidance on addressing the following points:</w:t>
            </w:r>
          </w:p>
          <w:p w14:paraId="52EE1BD5" w14:textId="77777777" w:rsidR="00A06942" w:rsidRDefault="00A06942" w:rsidP="00A06942">
            <w:r>
              <w:t>•</w:t>
            </w:r>
            <w:r>
              <w:tab/>
              <w:t>issues of continuity with the historical time series of catch (pre-2010) which might affect the stock assessments and would require some inter-calibration;</w:t>
            </w:r>
          </w:p>
          <w:p w14:paraId="02E13590" w14:textId="13AEA754" w:rsidR="00777992" w:rsidRPr="005D0E32" w:rsidRDefault="00A06942" w:rsidP="00A06942">
            <w:r>
              <w:t>•</w:t>
            </w:r>
            <w:r>
              <w:tab/>
              <w:t xml:space="preserve">current differences between revised official national catch statistics and scientific best estimates used for supporting </w:t>
            </w:r>
            <w:r>
              <w:lastRenderedPageBreak/>
              <w:t>the IOTC science process and decision-making.</w:t>
            </w:r>
          </w:p>
        </w:tc>
        <w:tc>
          <w:tcPr>
            <w:tcW w:w="1224" w:type="dxa"/>
            <w:shd w:val="clear" w:color="auto" w:fill="F2CEED" w:themeFill="accent5" w:themeFillTint="33"/>
          </w:tcPr>
          <w:p w14:paraId="14D086B1" w14:textId="58B5EB22" w:rsidR="00777992" w:rsidRDefault="00151AD3" w:rsidP="00151AD3">
            <w:pPr>
              <w:jc w:val="center"/>
              <w:rPr>
                <w:b/>
                <w:bCs/>
                <w:lang w:val="en-US"/>
              </w:rPr>
            </w:pPr>
            <w:r>
              <w:rPr>
                <w:b/>
                <w:bCs/>
                <w:lang w:val="en-US"/>
              </w:rPr>
              <w:lastRenderedPageBreak/>
              <w:t>SC26</w:t>
            </w:r>
            <w:r w:rsidR="00777992">
              <w:rPr>
                <w:b/>
                <w:bCs/>
                <w:lang w:val="en-US"/>
              </w:rPr>
              <w:t xml:space="preserve">.23 (para. </w:t>
            </w:r>
            <w:r w:rsidR="00A06942">
              <w:rPr>
                <w:b/>
                <w:bCs/>
                <w:lang w:val="en-US"/>
              </w:rPr>
              <w:t>142</w:t>
            </w:r>
            <w:r w:rsidR="00777992">
              <w:rPr>
                <w:b/>
                <w:bCs/>
                <w:lang w:val="en-US"/>
              </w:rPr>
              <w:t>)</w:t>
            </w:r>
          </w:p>
          <w:p w14:paraId="1ECC02AE" w14:textId="77777777" w:rsidR="00777992" w:rsidRDefault="00777992" w:rsidP="00151AD3">
            <w:pPr>
              <w:jc w:val="center"/>
              <w:rPr>
                <w:b/>
                <w:bCs/>
                <w:lang w:val="en-US"/>
              </w:rPr>
            </w:pPr>
          </w:p>
          <w:p w14:paraId="138F978B" w14:textId="77777777" w:rsidR="00777992" w:rsidRDefault="00777992" w:rsidP="00151AD3">
            <w:pPr>
              <w:jc w:val="center"/>
              <w:rPr>
                <w:b/>
                <w:bCs/>
                <w:lang w:val="en-US"/>
              </w:rPr>
            </w:pPr>
          </w:p>
          <w:p w14:paraId="06B56A2B" w14:textId="77777777" w:rsidR="00777992" w:rsidRPr="00783159" w:rsidRDefault="00777992" w:rsidP="00151AD3">
            <w:pPr>
              <w:jc w:val="center"/>
              <w:rPr>
                <w:b/>
                <w:bCs/>
                <w:lang w:val="en-US"/>
              </w:rPr>
            </w:pPr>
          </w:p>
        </w:tc>
        <w:tc>
          <w:tcPr>
            <w:tcW w:w="4248" w:type="dxa"/>
            <w:shd w:val="clear" w:color="auto" w:fill="F2CEED" w:themeFill="accent5" w:themeFillTint="33"/>
          </w:tcPr>
          <w:p w14:paraId="78B6AFB6" w14:textId="0CEA476A" w:rsidR="00777992" w:rsidRDefault="00777992" w:rsidP="00151AD3">
            <w:pPr>
              <w:pStyle w:val="00Numberedparagraph"/>
              <w:numPr>
                <w:ilvl w:val="0"/>
                <w:numId w:val="0"/>
              </w:numPr>
              <w:spacing w:line="257" w:lineRule="auto"/>
              <w:rPr>
                <w:rFonts w:eastAsia="Calibri" w:cs="Calibri"/>
              </w:rPr>
            </w:pPr>
            <w:r w:rsidRPr="00300293">
              <w:rPr>
                <w:b/>
                <w:bCs/>
              </w:rPr>
              <w:t>Update</w:t>
            </w:r>
            <w:r w:rsidRPr="00300293">
              <w:t xml:space="preserve">: </w:t>
            </w:r>
            <w:r w:rsidRPr="378805E7">
              <w:rPr>
                <w:rFonts w:eastAsia="Calibri" w:cs="Calibri"/>
              </w:rPr>
              <w:t xml:space="preserve"> </w:t>
            </w:r>
            <w:r w:rsidR="00A06942" w:rsidRPr="00A06942">
              <w:rPr>
                <w:rFonts w:eastAsia="Calibri" w:cs="Calibri"/>
              </w:rPr>
              <w:t xml:space="preserve">The SC </w:t>
            </w:r>
            <w:r w:rsidR="00A06942" w:rsidRPr="00A06942">
              <w:rPr>
                <w:rFonts w:eastAsia="Calibri" w:cs="Calibri"/>
                <w:b/>
                <w:bCs/>
              </w:rPr>
              <w:t>ACKNOWLEDGED</w:t>
            </w:r>
            <w:r w:rsidR="00A06942" w:rsidRPr="00A06942">
              <w:rPr>
                <w:rFonts w:eastAsia="Calibri" w:cs="Calibri"/>
              </w:rPr>
              <w:t xml:space="preserve"> the progresses accomplished by Indonesia in re-estimating their historical catch series from 2010 to 2021, and while </w:t>
            </w:r>
            <w:r w:rsidR="00A06942" w:rsidRPr="00A06942">
              <w:rPr>
                <w:rFonts w:eastAsia="Calibri" w:cs="Calibri"/>
                <w:b/>
                <w:bCs/>
              </w:rPr>
              <w:t>ENDORSING</w:t>
            </w:r>
            <w:r w:rsidR="00A06942" w:rsidRPr="00A06942">
              <w:rPr>
                <w:rFonts w:eastAsia="Calibri" w:cs="Calibri"/>
              </w:rPr>
              <w:t xml:space="preserve"> the proposed general methodology, </w:t>
            </w:r>
            <w:r w:rsidR="00A06942" w:rsidRPr="00A06942">
              <w:rPr>
                <w:rFonts w:eastAsia="Calibri" w:cs="Calibri"/>
                <w:b/>
                <w:bCs/>
              </w:rPr>
              <w:t>NOTED</w:t>
            </w:r>
            <w:r w:rsidR="00A06942" w:rsidRPr="00A06942">
              <w:rPr>
                <w:rFonts w:eastAsia="Calibri" w:cs="Calibri"/>
              </w:rPr>
              <w:t xml:space="preserve"> that there still are issues in some of the species-specific reconstructed historical time series such as: significant fluctuations in the revised catch statistics for several species, inconsistent patterns for specific years (e.g., 2018) and issues in continuity and magnitude with the historical catches pre-2010 (Fig. d). </w:t>
            </w:r>
          </w:p>
          <w:p w14:paraId="137FCCE2" w14:textId="77777777" w:rsidR="00777992" w:rsidRPr="00783159" w:rsidRDefault="00777992" w:rsidP="00151AD3">
            <w:pPr>
              <w:spacing w:after="0"/>
              <w:rPr>
                <w:lang w:val="en-US"/>
              </w:rPr>
            </w:pPr>
          </w:p>
        </w:tc>
        <w:tc>
          <w:tcPr>
            <w:tcW w:w="1148" w:type="dxa"/>
            <w:shd w:val="clear" w:color="auto" w:fill="83CAEB" w:themeFill="accent1" w:themeFillTint="66"/>
          </w:tcPr>
          <w:p w14:paraId="28E3C601" w14:textId="5F6A66C3" w:rsidR="00777992" w:rsidRDefault="00151AD3" w:rsidP="00151AD3">
            <w:pPr>
              <w:spacing w:after="0" w:line="240" w:lineRule="auto"/>
              <w:jc w:val="center"/>
              <w:rPr>
                <w:b/>
                <w:iCs/>
                <w:snapToGrid w:val="0"/>
              </w:rPr>
            </w:pPr>
            <w:r>
              <w:rPr>
                <w:b/>
                <w:iCs/>
                <w:snapToGrid w:val="0"/>
              </w:rPr>
              <w:t>S28</w:t>
            </w:r>
          </w:p>
          <w:p w14:paraId="452FEE47" w14:textId="0CA52B5F" w:rsidR="00777992" w:rsidRPr="00783159" w:rsidRDefault="00777992" w:rsidP="00151AD3">
            <w:pPr>
              <w:jc w:val="center"/>
              <w:rPr>
                <w:b/>
                <w:iCs/>
                <w:snapToGrid w:val="0"/>
              </w:rPr>
            </w:pPr>
            <w:r>
              <w:rPr>
                <w:b/>
                <w:iCs/>
                <w:snapToGrid w:val="0"/>
              </w:rPr>
              <w:t xml:space="preserve">(para. </w:t>
            </w:r>
            <w:r w:rsidR="00A06942">
              <w:rPr>
                <w:b/>
                <w:iCs/>
                <w:snapToGrid w:val="0"/>
              </w:rPr>
              <w:t>28</w:t>
            </w:r>
            <w:r>
              <w:rPr>
                <w:b/>
                <w:iCs/>
                <w:snapToGrid w:val="0"/>
              </w:rPr>
              <w:t>)</w:t>
            </w:r>
          </w:p>
        </w:tc>
        <w:tc>
          <w:tcPr>
            <w:tcW w:w="2694" w:type="dxa"/>
            <w:shd w:val="clear" w:color="auto" w:fill="83CAEB" w:themeFill="accent1" w:themeFillTint="66"/>
          </w:tcPr>
          <w:p w14:paraId="5AD4F26F" w14:textId="682F5010" w:rsidR="00777992" w:rsidRPr="00783159" w:rsidRDefault="00777992" w:rsidP="00151AD3">
            <w:pPr>
              <w:rPr>
                <w:b/>
                <w:iCs/>
                <w:snapToGrid w:val="0"/>
              </w:rPr>
            </w:pPr>
            <w:r>
              <w:rPr>
                <w:b/>
                <w:iCs/>
                <w:snapToGrid w:val="0"/>
              </w:rPr>
              <w:t>Update:</w:t>
            </w:r>
            <w:r w:rsidRPr="00691593">
              <w:rPr>
                <w:bCs/>
                <w:iCs/>
                <w:snapToGrid w:val="0"/>
              </w:rPr>
              <w:t xml:space="preserve"> </w:t>
            </w:r>
            <w:r w:rsidRPr="007A3ADD">
              <w:t xml:space="preserve"> The Commission </w:t>
            </w:r>
            <w:r w:rsidRPr="007A3ADD">
              <w:rPr>
                <w:b/>
              </w:rPr>
              <w:t>ENDORSED</w:t>
            </w:r>
            <w:r w:rsidRPr="007A3ADD">
              <w:t xml:space="preserve"> the Scientific Committee’s 202</w:t>
            </w:r>
            <w:r w:rsidR="00A06942">
              <w:t>3</w:t>
            </w:r>
            <w:r w:rsidRPr="007A3ADD">
              <w:t xml:space="preserve"> list of recommendations as its own.</w:t>
            </w:r>
          </w:p>
        </w:tc>
      </w:tr>
      <w:tr w:rsidR="00777992" w:rsidRPr="00783159" w14:paraId="7E7A854E" w14:textId="77777777" w:rsidTr="00151AD3">
        <w:tc>
          <w:tcPr>
            <w:tcW w:w="1129" w:type="dxa"/>
            <w:shd w:val="clear" w:color="auto" w:fill="D9F2D0" w:themeFill="accent6" w:themeFillTint="33"/>
          </w:tcPr>
          <w:p w14:paraId="6A5DD2D1" w14:textId="67F1E1BD" w:rsidR="00777992" w:rsidRPr="00783159" w:rsidRDefault="00151AD3" w:rsidP="00151AD3">
            <w:pPr>
              <w:jc w:val="center"/>
              <w:rPr>
                <w:rFonts w:eastAsia="Calibri"/>
                <w:b/>
                <w:bCs/>
                <w:lang w:val="en-AU" w:eastAsia="fr-FR"/>
              </w:rPr>
            </w:pPr>
            <w:r>
              <w:rPr>
                <w:rFonts w:eastAsia="Calibri"/>
                <w:b/>
                <w:bCs/>
                <w:lang w:val="en-AU" w:eastAsia="fr-FR"/>
              </w:rPr>
              <w:lastRenderedPageBreak/>
              <w:t>WPDCS19</w:t>
            </w:r>
            <w:r w:rsidR="00777992" w:rsidRPr="00783159">
              <w:rPr>
                <w:rFonts w:eastAsia="Calibri"/>
                <w:b/>
                <w:bCs/>
                <w:lang w:val="en-AU" w:eastAsia="fr-FR"/>
              </w:rPr>
              <w:t>.04 (para.</w:t>
            </w:r>
            <w:r w:rsidR="00777992">
              <w:rPr>
                <w:rFonts w:eastAsia="Calibri"/>
                <w:b/>
                <w:bCs/>
                <w:lang w:val="en-AU" w:eastAsia="fr-FR"/>
              </w:rPr>
              <w:t xml:space="preserve"> </w:t>
            </w:r>
            <w:r w:rsidR="00A06942">
              <w:rPr>
                <w:rFonts w:eastAsia="Calibri"/>
                <w:b/>
                <w:bCs/>
                <w:lang w:val="en-AU" w:eastAsia="fr-FR"/>
              </w:rPr>
              <w:t>243</w:t>
            </w:r>
            <w:r w:rsidR="00777992" w:rsidRPr="00783159">
              <w:rPr>
                <w:rFonts w:eastAsia="Calibri"/>
                <w:b/>
                <w:bCs/>
                <w:lang w:val="en-AU" w:eastAsia="fr-FR"/>
              </w:rPr>
              <w:t>)</w:t>
            </w:r>
          </w:p>
        </w:tc>
        <w:tc>
          <w:tcPr>
            <w:tcW w:w="4442" w:type="dxa"/>
            <w:shd w:val="clear" w:color="auto" w:fill="D9F2D0" w:themeFill="accent6" w:themeFillTint="33"/>
          </w:tcPr>
          <w:p w14:paraId="00099172" w14:textId="77777777" w:rsidR="00A06942" w:rsidRDefault="00A06942" w:rsidP="00151AD3">
            <w:pPr>
              <w:rPr>
                <w:b/>
                <w:i/>
              </w:rPr>
            </w:pPr>
            <w:r w:rsidRPr="00A06942">
              <w:rPr>
                <w:b/>
                <w:i/>
              </w:rPr>
              <w:t>Global fisheries information systems and data management best practices</w:t>
            </w:r>
          </w:p>
          <w:p w14:paraId="0167EE0E" w14:textId="38822034" w:rsidR="00777992" w:rsidRPr="005D0E32" w:rsidRDefault="00A06942" w:rsidP="00151AD3">
            <w:pPr>
              <w:rPr>
                <w:bCs/>
              </w:rPr>
            </w:pPr>
            <w:r w:rsidRPr="00A06942">
              <w:rPr>
                <w:b/>
              </w:rPr>
              <w:t>ACKNOWLEDGING</w:t>
            </w:r>
            <w:r w:rsidRPr="00A06942">
              <w:rPr>
                <w:bCs/>
              </w:rPr>
              <w:t xml:space="preserve"> the potential benefits of a climate-ocean web portal for the SC and its Working Parties, the WPDCS </w:t>
            </w:r>
            <w:r w:rsidRPr="00A06942">
              <w:rPr>
                <w:b/>
              </w:rPr>
              <w:t>RECOMMENDED</w:t>
            </w:r>
            <w:r w:rsidRPr="00A06942">
              <w:rPr>
                <w:bCs/>
              </w:rPr>
              <w:t xml:space="preserve"> a scoping study into how ocean-climate information (as shown through the initiative of the Seychelles Digital Ocean Atlas as well as the various indicators presented in paper IOTC–2018–WPDCS14–36) could be developed and made available by the IOTC and how this information would be presented to the SC and its working parties. The scoping study should also consider the resources needed to develop online ocean-climate indicators for the IOTC area of competence.</w:t>
            </w:r>
          </w:p>
        </w:tc>
        <w:tc>
          <w:tcPr>
            <w:tcW w:w="1224" w:type="dxa"/>
            <w:shd w:val="clear" w:color="auto" w:fill="F2CEED" w:themeFill="accent5" w:themeFillTint="33"/>
          </w:tcPr>
          <w:p w14:paraId="0B244B7B" w14:textId="2DC9F6EE" w:rsidR="00777992" w:rsidRPr="00783159" w:rsidRDefault="00151AD3" w:rsidP="00151AD3">
            <w:pPr>
              <w:jc w:val="center"/>
              <w:rPr>
                <w:b/>
                <w:bCs/>
                <w:lang w:val="en-US"/>
              </w:rPr>
            </w:pPr>
            <w:r>
              <w:rPr>
                <w:b/>
                <w:bCs/>
                <w:lang w:val="en-US"/>
              </w:rPr>
              <w:t>SC26</w:t>
            </w:r>
            <w:r w:rsidR="00777992">
              <w:rPr>
                <w:b/>
                <w:bCs/>
                <w:lang w:val="en-US"/>
              </w:rPr>
              <w:t xml:space="preserve">.25 (para. </w:t>
            </w:r>
            <w:r w:rsidR="00A06942">
              <w:rPr>
                <w:b/>
                <w:bCs/>
                <w:lang w:val="en-US"/>
              </w:rPr>
              <w:t>140</w:t>
            </w:r>
            <w:r w:rsidR="00777992">
              <w:rPr>
                <w:b/>
                <w:bCs/>
                <w:lang w:val="en-US"/>
              </w:rPr>
              <w:t>)</w:t>
            </w:r>
          </w:p>
        </w:tc>
        <w:tc>
          <w:tcPr>
            <w:tcW w:w="4248" w:type="dxa"/>
            <w:shd w:val="clear" w:color="auto" w:fill="F2CEED" w:themeFill="accent5" w:themeFillTint="33"/>
          </w:tcPr>
          <w:p w14:paraId="0A707099" w14:textId="2C01DDA2" w:rsidR="00777992" w:rsidRPr="00783159" w:rsidRDefault="00777992" w:rsidP="00151AD3">
            <w:pPr>
              <w:spacing w:after="0"/>
              <w:rPr>
                <w:lang w:val="en-US"/>
              </w:rPr>
            </w:pPr>
            <w:r w:rsidRPr="00300293">
              <w:rPr>
                <w:b/>
                <w:bCs/>
                <w:lang w:val="en-US"/>
              </w:rPr>
              <w:t>Update</w:t>
            </w:r>
            <w:r w:rsidR="00A06942">
              <w:rPr>
                <w:b/>
                <w:bCs/>
                <w:lang w:val="en-US"/>
              </w:rPr>
              <w:t xml:space="preserve">: </w:t>
            </w:r>
            <w:r w:rsidR="00A06942" w:rsidRPr="00A06942">
              <w:rPr>
                <w:rFonts w:eastAsia="Calibri" w:cs="Calibri"/>
              </w:rPr>
              <w:t xml:space="preserve">The SC </w:t>
            </w:r>
            <w:r w:rsidR="00A06942" w:rsidRPr="00A06942">
              <w:rPr>
                <w:rFonts w:eastAsia="Calibri" w:cs="Calibri"/>
                <w:b/>
                <w:bCs/>
              </w:rPr>
              <w:t>NOTED</w:t>
            </w:r>
            <w:r w:rsidR="00A06942" w:rsidRPr="00A06942">
              <w:rPr>
                <w:rFonts w:eastAsia="Calibri" w:cs="Calibri"/>
              </w:rPr>
              <w:t xml:space="preserve"> the status of the digital ocean atlas developed for Seychelles, which provides detailed ocean-climate information, </w:t>
            </w:r>
            <w:r w:rsidR="00A06942" w:rsidRPr="00A06942">
              <w:rPr>
                <w:rFonts w:eastAsia="Calibri" w:cs="Calibri"/>
                <w:b/>
                <w:bCs/>
              </w:rPr>
              <w:t xml:space="preserve">CONSIDERED </w:t>
            </w:r>
            <w:r w:rsidR="00A06942" w:rsidRPr="00A06942">
              <w:rPr>
                <w:rFonts w:eastAsia="Calibri" w:cs="Calibri"/>
              </w:rPr>
              <w:t xml:space="preserve">the resources necessary to develop online indicators for the whole Indian Ocean, and </w:t>
            </w:r>
            <w:r w:rsidR="00A06942" w:rsidRPr="00A06942">
              <w:rPr>
                <w:rFonts w:eastAsia="Calibri" w:cs="Calibri"/>
                <w:b/>
                <w:bCs/>
              </w:rPr>
              <w:t>ENDORSED</w:t>
            </w:r>
            <w:r w:rsidR="00A06942" w:rsidRPr="00A06942">
              <w:rPr>
                <w:rFonts w:eastAsia="Calibri" w:cs="Calibri"/>
              </w:rPr>
              <w:t xml:space="preserve"> the implementation of a scoping study to further develop all presented indicators, possibly though an online atlas, and devise the most effective ways to present these to the SC and its Working Parties.</w:t>
            </w:r>
          </w:p>
        </w:tc>
        <w:tc>
          <w:tcPr>
            <w:tcW w:w="1148" w:type="dxa"/>
            <w:shd w:val="clear" w:color="auto" w:fill="83CAEB" w:themeFill="accent1" w:themeFillTint="66"/>
          </w:tcPr>
          <w:p w14:paraId="169C646E" w14:textId="49FF045D" w:rsidR="00777992" w:rsidRDefault="00151AD3" w:rsidP="00151AD3">
            <w:pPr>
              <w:spacing w:after="0" w:line="240" w:lineRule="auto"/>
              <w:jc w:val="center"/>
              <w:rPr>
                <w:b/>
                <w:iCs/>
                <w:snapToGrid w:val="0"/>
              </w:rPr>
            </w:pPr>
            <w:r>
              <w:rPr>
                <w:b/>
                <w:iCs/>
                <w:snapToGrid w:val="0"/>
              </w:rPr>
              <w:t>S28</w:t>
            </w:r>
          </w:p>
          <w:p w14:paraId="08C58CB2" w14:textId="48C577DD" w:rsidR="00777992" w:rsidRPr="00783159" w:rsidRDefault="00777992" w:rsidP="00151AD3">
            <w:pPr>
              <w:jc w:val="center"/>
              <w:rPr>
                <w:b/>
                <w:iCs/>
                <w:snapToGrid w:val="0"/>
              </w:rPr>
            </w:pPr>
            <w:r>
              <w:rPr>
                <w:b/>
                <w:iCs/>
                <w:snapToGrid w:val="0"/>
              </w:rPr>
              <w:t xml:space="preserve">(para. </w:t>
            </w:r>
            <w:r w:rsidR="00A06942">
              <w:rPr>
                <w:b/>
                <w:iCs/>
                <w:snapToGrid w:val="0"/>
              </w:rPr>
              <w:t>28</w:t>
            </w:r>
            <w:r>
              <w:rPr>
                <w:b/>
                <w:iCs/>
                <w:snapToGrid w:val="0"/>
              </w:rPr>
              <w:t>)</w:t>
            </w:r>
          </w:p>
        </w:tc>
        <w:tc>
          <w:tcPr>
            <w:tcW w:w="2694" w:type="dxa"/>
            <w:shd w:val="clear" w:color="auto" w:fill="83CAEB" w:themeFill="accent1" w:themeFillTint="66"/>
          </w:tcPr>
          <w:p w14:paraId="1DB33164" w14:textId="45F0376E" w:rsidR="00777992" w:rsidRPr="00783159" w:rsidRDefault="00777992" w:rsidP="00151AD3">
            <w:pPr>
              <w:rPr>
                <w:b/>
                <w:iCs/>
                <w:snapToGrid w:val="0"/>
              </w:rPr>
            </w:pPr>
            <w:r>
              <w:rPr>
                <w:b/>
                <w:iCs/>
                <w:snapToGrid w:val="0"/>
              </w:rPr>
              <w:t>Update:</w:t>
            </w:r>
            <w:r w:rsidRPr="00691593">
              <w:rPr>
                <w:bCs/>
                <w:iCs/>
                <w:snapToGrid w:val="0"/>
              </w:rPr>
              <w:t xml:space="preserve"> </w:t>
            </w:r>
            <w:r w:rsidRPr="007A3ADD">
              <w:t xml:space="preserve"> The Commission </w:t>
            </w:r>
            <w:r w:rsidRPr="007A3ADD">
              <w:rPr>
                <w:b/>
              </w:rPr>
              <w:t>ENDORSED</w:t>
            </w:r>
            <w:r w:rsidRPr="007A3ADD">
              <w:t xml:space="preserve"> the Scientific Committee’s 202</w:t>
            </w:r>
            <w:r w:rsidR="00A06942">
              <w:t>3</w:t>
            </w:r>
            <w:r w:rsidRPr="007A3ADD">
              <w:t xml:space="preserve"> list of recommendations as its own.</w:t>
            </w:r>
          </w:p>
        </w:tc>
      </w:tr>
      <w:tr w:rsidR="00777992" w:rsidRPr="00783159" w14:paraId="32B9541C" w14:textId="77777777" w:rsidTr="00151AD3">
        <w:tc>
          <w:tcPr>
            <w:tcW w:w="1129" w:type="dxa"/>
            <w:shd w:val="clear" w:color="auto" w:fill="D9F2D0" w:themeFill="accent6" w:themeFillTint="33"/>
          </w:tcPr>
          <w:p w14:paraId="3D58FDD4" w14:textId="105C50F0" w:rsidR="00777992" w:rsidRPr="00783159" w:rsidRDefault="00151AD3" w:rsidP="00151AD3">
            <w:pPr>
              <w:jc w:val="center"/>
              <w:rPr>
                <w:rFonts w:eastAsia="Calibri"/>
                <w:b/>
                <w:bCs/>
                <w:lang w:val="en-AU" w:eastAsia="fr-FR"/>
              </w:rPr>
            </w:pPr>
            <w:r>
              <w:rPr>
                <w:rFonts w:eastAsia="Calibri"/>
                <w:b/>
                <w:bCs/>
                <w:lang w:val="en-AU" w:eastAsia="fr-FR"/>
              </w:rPr>
              <w:t>WPDCS19</w:t>
            </w:r>
            <w:r w:rsidR="00777992" w:rsidRPr="009E13EF">
              <w:rPr>
                <w:rFonts w:eastAsia="Calibri"/>
                <w:b/>
                <w:bCs/>
                <w:lang w:val="en-AU" w:eastAsia="fr-FR"/>
              </w:rPr>
              <w:t xml:space="preserve">.05 (para. </w:t>
            </w:r>
            <w:r w:rsidR="00A06942">
              <w:rPr>
                <w:rFonts w:eastAsia="Calibri"/>
                <w:b/>
                <w:bCs/>
                <w:lang w:val="en-AU" w:eastAsia="fr-FR"/>
              </w:rPr>
              <w:t>284</w:t>
            </w:r>
            <w:r w:rsidR="00777992" w:rsidRPr="009E13EF">
              <w:rPr>
                <w:rFonts w:eastAsia="Calibri"/>
                <w:b/>
                <w:bCs/>
                <w:lang w:val="en-AU" w:eastAsia="fr-FR"/>
              </w:rPr>
              <w:t>)</w:t>
            </w:r>
          </w:p>
        </w:tc>
        <w:tc>
          <w:tcPr>
            <w:tcW w:w="4442" w:type="dxa"/>
            <w:shd w:val="clear" w:color="auto" w:fill="D9F2D0" w:themeFill="accent6" w:themeFillTint="33"/>
          </w:tcPr>
          <w:p w14:paraId="6D2BCB25" w14:textId="77777777" w:rsidR="00A06942" w:rsidRDefault="00A06942" w:rsidP="00151AD3">
            <w:pPr>
              <w:rPr>
                <w:b/>
                <w:i/>
              </w:rPr>
            </w:pPr>
            <w:r w:rsidRPr="00A06942">
              <w:rPr>
                <w:b/>
                <w:i/>
              </w:rPr>
              <w:t>Electronic Monitoring Systems in support of the IOTC ROS</w:t>
            </w:r>
          </w:p>
          <w:p w14:paraId="6B62627C" w14:textId="77777777" w:rsidR="00A06942" w:rsidRPr="00A06942" w:rsidRDefault="00A06942" w:rsidP="00A06942">
            <w:pPr>
              <w:rPr>
                <w:bCs/>
                <w:iCs/>
              </w:rPr>
            </w:pPr>
            <w:r w:rsidRPr="00A06942">
              <w:rPr>
                <w:bCs/>
                <w:iCs/>
              </w:rPr>
              <w:t xml:space="preserve">The WPDCS </w:t>
            </w:r>
            <w:r w:rsidRPr="00A06942">
              <w:rPr>
                <w:b/>
                <w:iCs/>
              </w:rPr>
              <w:t>RECOMMENDED</w:t>
            </w:r>
            <w:r w:rsidRPr="00A06942">
              <w:rPr>
                <w:bCs/>
                <w:iCs/>
              </w:rPr>
              <w:t xml:space="preserve"> that an intersessional working group is organised (by correspondence or through online meetings) </w:t>
            </w:r>
            <w:r w:rsidRPr="00A06942">
              <w:rPr>
                <w:bCs/>
                <w:iCs/>
              </w:rPr>
              <w:lastRenderedPageBreak/>
              <w:t xml:space="preserve">to convey interested WPDCS and WGEMS participants and review: </w:t>
            </w:r>
          </w:p>
          <w:p w14:paraId="38692A3B" w14:textId="77777777" w:rsidR="00A06942" w:rsidRPr="00A06942" w:rsidRDefault="00A06942" w:rsidP="00A06942">
            <w:pPr>
              <w:rPr>
                <w:bCs/>
                <w:iCs/>
              </w:rPr>
            </w:pPr>
            <w:r w:rsidRPr="00A06942">
              <w:rPr>
                <w:bCs/>
                <w:iCs/>
              </w:rPr>
              <w:t>•</w:t>
            </w:r>
            <w:r w:rsidRPr="00A06942">
              <w:rPr>
                <w:bCs/>
                <w:iCs/>
              </w:rPr>
              <w:tab/>
              <w:t>the scientific need for each ROS data field proposed by the 2018 ROS expert WS;</w:t>
            </w:r>
          </w:p>
          <w:p w14:paraId="3585E496" w14:textId="77777777" w:rsidR="00A06942" w:rsidRPr="00A06942" w:rsidRDefault="00A06942" w:rsidP="00A06942">
            <w:pPr>
              <w:rPr>
                <w:bCs/>
                <w:iCs/>
              </w:rPr>
            </w:pPr>
            <w:r w:rsidRPr="00A06942">
              <w:rPr>
                <w:bCs/>
                <w:iCs/>
              </w:rPr>
              <w:t>•</w:t>
            </w:r>
            <w:r w:rsidRPr="00A06942">
              <w:rPr>
                <w:bCs/>
                <w:iCs/>
              </w:rPr>
              <w:tab/>
              <w:t>ROS data fields collection and reporting status (e.g., mandatory/optional, etc.);</w:t>
            </w:r>
          </w:p>
          <w:p w14:paraId="6C9F2F72" w14:textId="77777777" w:rsidR="00A06942" w:rsidRPr="00A06942" w:rsidRDefault="00A06942" w:rsidP="00A06942">
            <w:pPr>
              <w:rPr>
                <w:bCs/>
                <w:iCs/>
              </w:rPr>
            </w:pPr>
            <w:r w:rsidRPr="00A06942">
              <w:rPr>
                <w:bCs/>
                <w:iCs/>
              </w:rPr>
              <w:t>•</w:t>
            </w:r>
            <w:r w:rsidRPr="00A06942">
              <w:rPr>
                <w:bCs/>
                <w:iCs/>
              </w:rPr>
              <w:tab/>
              <w:t>potential specific EMS fields to be added to ROS mandatory requirements; and</w:t>
            </w:r>
          </w:p>
          <w:p w14:paraId="31EC2A44" w14:textId="77777777" w:rsidR="00A06942" w:rsidRPr="00A06942" w:rsidRDefault="00A06942" w:rsidP="00A06942">
            <w:pPr>
              <w:rPr>
                <w:bCs/>
                <w:iCs/>
              </w:rPr>
            </w:pPr>
            <w:r w:rsidRPr="00A06942">
              <w:rPr>
                <w:bCs/>
                <w:iCs/>
              </w:rPr>
              <w:t>•</w:t>
            </w:r>
            <w:r w:rsidRPr="00A06942">
              <w:rPr>
                <w:bCs/>
                <w:iCs/>
              </w:rPr>
              <w:tab/>
              <w:t>summarise the capabilities, and advantages and drawbacks to collect ROS data fields across gears by different alternative methods (e.g., EMS, human onboard observers, self-reporting, port sampling) and a combination of those.</w:t>
            </w:r>
          </w:p>
          <w:p w14:paraId="3C339A93" w14:textId="4C1E444D" w:rsidR="00777992" w:rsidRPr="00A06942" w:rsidRDefault="00A06942" w:rsidP="00A06942">
            <w:pPr>
              <w:rPr>
                <w:bCs/>
                <w:iCs/>
              </w:rPr>
            </w:pPr>
            <w:r w:rsidRPr="00A06942">
              <w:rPr>
                <w:bCs/>
                <w:iCs/>
              </w:rPr>
              <w:t xml:space="preserve">and further </w:t>
            </w:r>
            <w:r w:rsidRPr="00A06942">
              <w:rPr>
                <w:b/>
                <w:iCs/>
              </w:rPr>
              <w:t>REQUESTED</w:t>
            </w:r>
            <w:r w:rsidRPr="00A06942">
              <w:rPr>
                <w:bCs/>
                <w:iCs/>
              </w:rPr>
              <w:t xml:space="preserve"> that this group report to the next sessions of the WGEMS and WPDCS.</w:t>
            </w:r>
          </w:p>
        </w:tc>
        <w:tc>
          <w:tcPr>
            <w:tcW w:w="1224" w:type="dxa"/>
            <w:shd w:val="clear" w:color="auto" w:fill="F2CEED" w:themeFill="accent5" w:themeFillTint="33"/>
          </w:tcPr>
          <w:p w14:paraId="22BDC635" w14:textId="29236A9C" w:rsidR="00777992" w:rsidRPr="00783159" w:rsidRDefault="00151AD3" w:rsidP="00151AD3">
            <w:pPr>
              <w:jc w:val="center"/>
              <w:rPr>
                <w:b/>
                <w:bCs/>
                <w:lang w:val="en-US"/>
              </w:rPr>
            </w:pPr>
            <w:r>
              <w:rPr>
                <w:b/>
                <w:bCs/>
                <w:lang w:val="en-US"/>
              </w:rPr>
              <w:lastRenderedPageBreak/>
              <w:t>SC26</w:t>
            </w:r>
            <w:r w:rsidR="00777992">
              <w:rPr>
                <w:b/>
                <w:bCs/>
                <w:lang w:val="en-US"/>
              </w:rPr>
              <w:t xml:space="preserve"> (para. 1</w:t>
            </w:r>
            <w:r w:rsidR="00A06942">
              <w:rPr>
                <w:b/>
                <w:bCs/>
                <w:lang w:val="en-US"/>
              </w:rPr>
              <w:t>4</w:t>
            </w:r>
            <w:r w:rsidR="00777992">
              <w:rPr>
                <w:b/>
                <w:bCs/>
                <w:lang w:val="en-US"/>
              </w:rPr>
              <w:t>6)</w:t>
            </w:r>
          </w:p>
        </w:tc>
        <w:tc>
          <w:tcPr>
            <w:tcW w:w="4248" w:type="dxa"/>
            <w:shd w:val="clear" w:color="auto" w:fill="F2CEED" w:themeFill="accent5" w:themeFillTint="33"/>
          </w:tcPr>
          <w:p w14:paraId="66CA4A36" w14:textId="02C36F08" w:rsidR="00A06942" w:rsidRPr="00A06942" w:rsidRDefault="00777992" w:rsidP="00A06942">
            <w:pPr>
              <w:spacing w:after="0"/>
              <w:rPr>
                <w:lang w:val="en-US"/>
              </w:rPr>
            </w:pPr>
            <w:r w:rsidRPr="00326A24">
              <w:rPr>
                <w:b/>
                <w:bCs/>
                <w:lang w:val="en-US"/>
              </w:rPr>
              <w:t>Update</w:t>
            </w:r>
            <w:r>
              <w:rPr>
                <w:lang w:val="en-US"/>
              </w:rPr>
              <w:t xml:space="preserve">: </w:t>
            </w:r>
            <w:r w:rsidR="00A06942" w:rsidRPr="00A06942">
              <w:rPr>
                <w:b/>
                <w:bCs/>
                <w:lang w:val="en-US"/>
              </w:rPr>
              <w:t>ACKNOWLEDGING</w:t>
            </w:r>
            <w:r w:rsidR="00A06942" w:rsidRPr="00A06942">
              <w:rPr>
                <w:lang w:val="en-US"/>
              </w:rPr>
              <w:t xml:space="preserve"> that Res. 23/08 requires the revision of the ROS data fields, the SC </w:t>
            </w:r>
            <w:r w:rsidR="00A06942" w:rsidRPr="00A06942">
              <w:rPr>
                <w:b/>
                <w:bCs/>
                <w:lang w:val="en-US"/>
              </w:rPr>
              <w:t>ENDORSED</w:t>
            </w:r>
            <w:r w:rsidR="00A06942" w:rsidRPr="00A06942">
              <w:rPr>
                <w:lang w:val="en-US"/>
              </w:rPr>
              <w:t xml:space="preserve"> the request of setting up an intersessional working group (either by correspondence, or remotely) </w:t>
            </w:r>
            <w:r w:rsidR="00A06942" w:rsidRPr="00A06942">
              <w:rPr>
                <w:lang w:val="en-US"/>
              </w:rPr>
              <w:lastRenderedPageBreak/>
              <w:t>convening interested WPDCS and WGEMS participants to discuss and review:</w:t>
            </w:r>
          </w:p>
          <w:p w14:paraId="798DF4A5" w14:textId="77777777" w:rsidR="00A06942" w:rsidRPr="00A06942" w:rsidRDefault="00A06942" w:rsidP="00A06942">
            <w:pPr>
              <w:spacing w:after="0"/>
              <w:rPr>
                <w:lang w:val="en-US"/>
              </w:rPr>
            </w:pPr>
            <w:r w:rsidRPr="00A06942">
              <w:rPr>
                <w:lang w:val="en-US"/>
              </w:rPr>
              <w:t>a)</w:t>
            </w:r>
            <w:r w:rsidRPr="00A06942">
              <w:rPr>
                <w:lang w:val="en-US"/>
              </w:rPr>
              <w:tab/>
              <w:t>The scientific need for each ROS data field (as proposed by the ROS expert workshop of 2018)</w:t>
            </w:r>
          </w:p>
          <w:p w14:paraId="55EF67E2" w14:textId="77777777" w:rsidR="00A06942" w:rsidRPr="00A06942" w:rsidRDefault="00A06942" w:rsidP="00A06942">
            <w:pPr>
              <w:spacing w:after="0"/>
              <w:rPr>
                <w:lang w:val="en-US"/>
              </w:rPr>
            </w:pPr>
            <w:r w:rsidRPr="00A06942">
              <w:rPr>
                <w:lang w:val="en-US"/>
              </w:rPr>
              <w:t>b)</w:t>
            </w:r>
            <w:r w:rsidRPr="00A06942">
              <w:rPr>
                <w:lang w:val="en-US"/>
              </w:rPr>
              <w:tab/>
              <w:t>The status (mandatory / mandatory when feasible / optional) of each ROS data field</w:t>
            </w:r>
          </w:p>
          <w:p w14:paraId="5C713260" w14:textId="77777777" w:rsidR="00A06942" w:rsidRPr="00A06942" w:rsidRDefault="00A06942" w:rsidP="00A06942">
            <w:pPr>
              <w:spacing w:after="0"/>
              <w:rPr>
                <w:lang w:val="en-US"/>
              </w:rPr>
            </w:pPr>
            <w:r w:rsidRPr="00A06942">
              <w:rPr>
                <w:lang w:val="en-US"/>
              </w:rPr>
              <w:t>c)</w:t>
            </w:r>
            <w:r w:rsidRPr="00A06942">
              <w:rPr>
                <w:lang w:val="en-US"/>
              </w:rPr>
              <w:tab/>
              <w:t>The possibility of adding EMS-specific elements to the list of ROS mandatory data fields</w:t>
            </w:r>
          </w:p>
          <w:p w14:paraId="7DA66E94" w14:textId="77777777" w:rsidR="00A06942" w:rsidRPr="00A06942" w:rsidRDefault="00A06942" w:rsidP="00A06942">
            <w:pPr>
              <w:spacing w:after="0"/>
              <w:rPr>
                <w:lang w:val="en-US"/>
              </w:rPr>
            </w:pPr>
            <w:r w:rsidRPr="00A06942">
              <w:rPr>
                <w:lang w:val="en-US"/>
              </w:rPr>
              <w:t>d)</w:t>
            </w:r>
            <w:r w:rsidRPr="00A06942">
              <w:rPr>
                <w:lang w:val="en-US"/>
              </w:rPr>
              <w:tab/>
              <w:t>The inclusion of proper mechanisms / classifications, within the ROS data fields, to better capture details on fins naturally attached to sharks</w:t>
            </w:r>
          </w:p>
          <w:p w14:paraId="74ED1E92" w14:textId="77777777" w:rsidR="00A06942" w:rsidRPr="00A06942" w:rsidRDefault="00A06942" w:rsidP="00A06942">
            <w:pPr>
              <w:spacing w:after="0"/>
              <w:rPr>
                <w:lang w:val="en-US"/>
              </w:rPr>
            </w:pPr>
            <w:r w:rsidRPr="00A06942">
              <w:rPr>
                <w:lang w:val="en-US"/>
              </w:rPr>
              <w:t>e)</w:t>
            </w:r>
            <w:r w:rsidRPr="00A06942">
              <w:rPr>
                <w:lang w:val="en-US"/>
              </w:rPr>
              <w:tab/>
              <w:t>The summary of capabilities, advantages, and drawbacks of collecting ROS data fields through alternative methods such as EMS, human onboard observers, port-sampling, self-reporting, etc. (as well as a combination of these).</w:t>
            </w:r>
          </w:p>
          <w:p w14:paraId="13236041" w14:textId="47BABC27" w:rsidR="00A06942" w:rsidRDefault="00A06942" w:rsidP="00A06942">
            <w:pPr>
              <w:spacing w:after="0"/>
              <w:rPr>
                <w:lang w:val="en-US"/>
              </w:rPr>
            </w:pPr>
            <w:r w:rsidRPr="00A06942">
              <w:rPr>
                <w:lang w:val="en-US"/>
              </w:rPr>
              <w:t xml:space="preserve">and </w:t>
            </w:r>
            <w:r w:rsidRPr="00A06942">
              <w:rPr>
                <w:b/>
                <w:bCs/>
                <w:lang w:val="en-US"/>
              </w:rPr>
              <w:t>REQUESTED</w:t>
            </w:r>
            <w:r w:rsidRPr="00A06942">
              <w:rPr>
                <w:lang w:val="en-US"/>
              </w:rPr>
              <w:t xml:space="preserve"> that this group reports to the next session of the WGEMS and WPDCS</w:t>
            </w:r>
          </w:p>
          <w:p w14:paraId="0E33138B" w14:textId="77777777" w:rsidR="00A06942" w:rsidRDefault="00A06942" w:rsidP="00151AD3">
            <w:pPr>
              <w:spacing w:after="0"/>
              <w:rPr>
                <w:lang w:val="en-US"/>
              </w:rPr>
            </w:pPr>
          </w:p>
          <w:p w14:paraId="656999B2" w14:textId="7506939A" w:rsidR="00777992" w:rsidRPr="00783159" w:rsidRDefault="00777992" w:rsidP="00151AD3">
            <w:pPr>
              <w:spacing w:after="0"/>
              <w:rPr>
                <w:lang w:val="en-US"/>
              </w:rPr>
            </w:pPr>
          </w:p>
        </w:tc>
        <w:tc>
          <w:tcPr>
            <w:tcW w:w="1148" w:type="dxa"/>
            <w:shd w:val="clear" w:color="auto" w:fill="83CAEB" w:themeFill="accent1" w:themeFillTint="66"/>
          </w:tcPr>
          <w:p w14:paraId="1F3A3595" w14:textId="77777777" w:rsidR="00777992" w:rsidRPr="00783159" w:rsidRDefault="00777992" w:rsidP="00151AD3">
            <w:pPr>
              <w:jc w:val="center"/>
              <w:rPr>
                <w:b/>
                <w:iCs/>
                <w:snapToGrid w:val="0"/>
              </w:rPr>
            </w:pPr>
          </w:p>
        </w:tc>
        <w:tc>
          <w:tcPr>
            <w:tcW w:w="2694" w:type="dxa"/>
            <w:shd w:val="clear" w:color="auto" w:fill="83CAEB" w:themeFill="accent1" w:themeFillTint="66"/>
          </w:tcPr>
          <w:p w14:paraId="17264888" w14:textId="77777777" w:rsidR="00777992" w:rsidRPr="00783159" w:rsidRDefault="00777992" w:rsidP="00151AD3">
            <w:pPr>
              <w:rPr>
                <w:b/>
                <w:iCs/>
                <w:snapToGrid w:val="0"/>
              </w:rPr>
            </w:pPr>
            <w:r>
              <w:rPr>
                <w:b/>
                <w:iCs/>
                <w:snapToGrid w:val="0"/>
              </w:rPr>
              <w:t>Update:</w:t>
            </w:r>
            <w:r w:rsidRPr="00263AF4">
              <w:rPr>
                <w:bCs/>
                <w:iCs/>
                <w:snapToGrid w:val="0"/>
              </w:rPr>
              <w:t xml:space="preserve"> None</w:t>
            </w:r>
          </w:p>
        </w:tc>
      </w:tr>
      <w:tr w:rsidR="00777992" w:rsidRPr="00783159" w14:paraId="72163B0A" w14:textId="77777777" w:rsidTr="00151AD3">
        <w:tc>
          <w:tcPr>
            <w:tcW w:w="1129" w:type="dxa"/>
            <w:shd w:val="clear" w:color="auto" w:fill="D9F2D0" w:themeFill="accent6" w:themeFillTint="33"/>
          </w:tcPr>
          <w:p w14:paraId="657F4C9D" w14:textId="2573F115" w:rsidR="00777992" w:rsidRPr="00783159" w:rsidRDefault="00151AD3" w:rsidP="00151AD3">
            <w:pPr>
              <w:jc w:val="center"/>
              <w:rPr>
                <w:rFonts w:eastAsia="Calibri"/>
                <w:b/>
                <w:bCs/>
                <w:lang w:val="en-AU" w:eastAsia="fr-FR"/>
              </w:rPr>
            </w:pPr>
            <w:r>
              <w:rPr>
                <w:rFonts w:eastAsia="Calibri"/>
                <w:b/>
                <w:bCs/>
                <w:lang w:val="en-AU" w:eastAsia="fr-FR"/>
              </w:rPr>
              <w:lastRenderedPageBreak/>
              <w:t>WPDCS19</w:t>
            </w:r>
            <w:r w:rsidR="00777992" w:rsidRPr="00783159">
              <w:rPr>
                <w:rFonts w:eastAsia="Calibri"/>
                <w:b/>
                <w:bCs/>
                <w:lang w:val="en-AU" w:eastAsia="fr-FR"/>
              </w:rPr>
              <w:t>.</w:t>
            </w:r>
            <w:r w:rsidR="00777992">
              <w:rPr>
                <w:rFonts w:eastAsia="Calibri"/>
                <w:b/>
                <w:bCs/>
                <w:lang w:val="en-AU" w:eastAsia="fr-FR"/>
              </w:rPr>
              <w:t>0</w:t>
            </w:r>
            <w:r w:rsidR="00447BD9">
              <w:rPr>
                <w:rFonts w:eastAsia="Calibri"/>
                <w:b/>
                <w:bCs/>
                <w:lang w:val="en-AU" w:eastAsia="fr-FR"/>
              </w:rPr>
              <w:t xml:space="preserve">6 </w:t>
            </w:r>
            <w:r w:rsidR="00777992" w:rsidRPr="00783159">
              <w:rPr>
                <w:rFonts w:eastAsia="Calibri"/>
                <w:b/>
                <w:bCs/>
                <w:lang w:val="en-AU" w:eastAsia="fr-FR"/>
              </w:rPr>
              <w:t>(para.</w:t>
            </w:r>
            <w:r w:rsidR="00777992">
              <w:rPr>
                <w:rFonts w:eastAsia="Calibri"/>
                <w:b/>
                <w:bCs/>
                <w:lang w:val="en-AU" w:eastAsia="fr-FR"/>
              </w:rPr>
              <w:t xml:space="preserve"> </w:t>
            </w:r>
            <w:r w:rsidR="00447BD9">
              <w:rPr>
                <w:rFonts w:eastAsia="Calibri"/>
                <w:b/>
                <w:bCs/>
                <w:lang w:val="en-AU" w:eastAsia="fr-FR"/>
              </w:rPr>
              <w:t>308</w:t>
            </w:r>
            <w:r w:rsidR="00777992" w:rsidRPr="00783159">
              <w:rPr>
                <w:rFonts w:eastAsia="Calibri"/>
                <w:b/>
                <w:bCs/>
                <w:lang w:val="en-AU" w:eastAsia="fr-FR"/>
              </w:rPr>
              <w:t>)</w:t>
            </w:r>
          </w:p>
        </w:tc>
        <w:tc>
          <w:tcPr>
            <w:tcW w:w="4442" w:type="dxa"/>
            <w:shd w:val="clear" w:color="auto" w:fill="D9F2D0" w:themeFill="accent6" w:themeFillTint="33"/>
          </w:tcPr>
          <w:p w14:paraId="5FAB2050" w14:textId="77777777" w:rsidR="00777992" w:rsidRDefault="00777992" w:rsidP="00151AD3">
            <w:pPr>
              <w:rPr>
                <w:b/>
                <w:i/>
              </w:rPr>
            </w:pPr>
            <w:r>
              <w:rPr>
                <w:b/>
                <w:i/>
              </w:rPr>
              <w:t xml:space="preserve">WPDCS program of work </w:t>
            </w:r>
          </w:p>
          <w:p w14:paraId="430391E0" w14:textId="18FE2F3E" w:rsidR="00777992" w:rsidRPr="00783159" w:rsidRDefault="00447BD9" w:rsidP="00151AD3">
            <w:r w:rsidRPr="00447BD9">
              <w:t xml:space="preserve">The WPDCS </w:t>
            </w:r>
            <w:r w:rsidRPr="00447BD9">
              <w:rPr>
                <w:b/>
                <w:bCs/>
              </w:rPr>
              <w:t>RECOMMENDED</w:t>
            </w:r>
            <w:r w:rsidRPr="00447BD9">
              <w:t xml:space="preserve"> that the Scientific Committee consider and endorse the WPDCS Program of Work (2024–2028)</w:t>
            </w:r>
            <w:r>
              <w:t xml:space="preserve">, </w:t>
            </w:r>
            <w:r w:rsidR="00777992" w:rsidRPr="00423C0E">
              <w:t xml:space="preserve">as provided at </w:t>
            </w:r>
            <w:r w:rsidR="00777992" w:rsidRPr="00423C0E">
              <w:rPr>
                <w:color w:val="1155CC"/>
                <w:u w:val="single"/>
              </w:rPr>
              <w:t>Appendix V</w:t>
            </w:r>
            <w:r w:rsidR="00777992" w:rsidRPr="00423C0E">
              <w:t>.</w:t>
            </w:r>
          </w:p>
        </w:tc>
        <w:tc>
          <w:tcPr>
            <w:tcW w:w="1224" w:type="dxa"/>
            <w:shd w:val="clear" w:color="auto" w:fill="F2CEED" w:themeFill="accent5" w:themeFillTint="33"/>
          </w:tcPr>
          <w:p w14:paraId="7B001F07" w14:textId="4F211A98" w:rsidR="00777992" w:rsidRPr="00783159" w:rsidRDefault="00151AD3" w:rsidP="00151AD3">
            <w:pPr>
              <w:jc w:val="center"/>
              <w:rPr>
                <w:b/>
                <w:bCs/>
                <w:lang w:val="en-US"/>
              </w:rPr>
            </w:pPr>
            <w:r>
              <w:rPr>
                <w:b/>
                <w:bCs/>
                <w:lang w:val="en-US"/>
              </w:rPr>
              <w:t>SC26</w:t>
            </w:r>
            <w:r w:rsidR="00777992">
              <w:rPr>
                <w:b/>
                <w:bCs/>
                <w:lang w:val="en-US"/>
              </w:rPr>
              <w:t xml:space="preserve"> (para. 18</w:t>
            </w:r>
            <w:r w:rsidR="00447BD9">
              <w:rPr>
                <w:b/>
                <w:bCs/>
                <w:lang w:val="en-US"/>
              </w:rPr>
              <w:t>2</w:t>
            </w:r>
            <w:r w:rsidR="00777992">
              <w:rPr>
                <w:b/>
                <w:bCs/>
                <w:lang w:val="en-US"/>
              </w:rPr>
              <w:t>)</w:t>
            </w:r>
          </w:p>
        </w:tc>
        <w:tc>
          <w:tcPr>
            <w:tcW w:w="4248" w:type="dxa"/>
            <w:shd w:val="clear" w:color="auto" w:fill="F2CEED" w:themeFill="accent5" w:themeFillTint="33"/>
          </w:tcPr>
          <w:p w14:paraId="4EB35BE2" w14:textId="78B4FEE0" w:rsidR="00777992" w:rsidRPr="00783159" w:rsidRDefault="00777992" w:rsidP="00151AD3">
            <w:pPr>
              <w:pStyle w:val="Default"/>
              <w:jc w:val="both"/>
              <w:rPr>
                <w:lang w:val="en-US"/>
              </w:rPr>
            </w:pPr>
            <w:r w:rsidRPr="00604C27">
              <w:rPr>
                <w:b/>
                <w:bCs/>
                <w:lang w:val="en-US"/>
              </w:rPr>
              <w:t>Update</w:t>
            </w:r>
            <w:r>
              <w:rPr>
                <w:lang w:val="en-US"/>
              </w:rPr>
              <w:t xml:space="preserve">: </w:t>
            </w:r>
            <w:r w:rsidRPr="00C676C7">
              <w:t xml:space="preserve">  </w:t>
            </w:r>
            <w:r w:rsidR="00447BD9" w:rsidRPr="00447BD9">
              <w:t xml:space="preserve">The SC </w:t>
            </w:r>
            <w:r w:rsidR="00447BD9" w:rsidRPr="00447BD9">
              <w:rPr>
                <w:b/>
                <w:bCs/>
              </w:rPr>
              <w:t>NOTED</w:t>
            </w:r>
            <w:r w:rsidR="00447BD9" w:rsidRPr="00447BD9">
              <w:t xml:space="preserve"> the proposed Program of Work and priorities for the SC and each of the working parties and </w:t>
            </w:r>
            <w:r w:rsidR="00447BD9" w:rsidRPr="00447BD9">
              <w:rPr>
                <w:b/>
                <w:bCs/>
              </w:rPr>
              <w:t>AGREED</w:t>
            </w:r>
            <w:r w:rsidR="00447BD9" w:rsidRPr="00447BD9">
              <w:t xml:space="preserve"> to a consolidated Program of Work as outlined in Appendix 35a-g and in accordance with the IOTC Strategic Science Plan 2020-2024. The Chairpersons and Vice-Chairpersons of each working party will ensure that the efforts of their respective working parties are focused on the core areas contained within the appendix, taking into account any new research priorities identified by the Commission at its next Session</w:t>
            </w:r>
          </w:p>
        </w:tc>
        <w:tc>
          <w:tcPr>
            <w:tcW w:w="1148" w:type="dxa"/>
            <w:shd w:val="clear" w:color="auto" w:fill="83CAEB" w:themeFill="accent1" w:themeFillTint="66"/>
          </w:tcPr>
          <w:p w14:paraId="51D8CF2F" w14:textId="77777777" w:rsidR="00777992" w:rsidRPr="00783159" w:rsidRDefault="00777992" w:rsidP="00151AD3">
            <w:pPr>
              <w:jc w:val="center"/>
              <w:rPr>
                <w:b/>
                <w:iCs/>
                <w:snapToGrid w:val="0"/>
              </w:rPr>
            </w:pPr>
          </w:p>
        </w:tc>
        <w:tc>
          <w:tcPr>
            <w:tcW w:w="2694" w:type="dxa"/>
            <w:shd w:val="clear" w:color="auto" w:fill="83CAEB" w:themeFill="accent1" w:themeFillTint="66"/>
          </w:tcPr>
          <w:p w14:paraId="05910F00" w14:textId="77777777" w:rsidR="00777992" w:rsidRPr="00FC26D6" w:rsidRDefault="00777992" w:rsidP="00151AD3">
            <w:r>
              <w:rPr>
                <w:b/>
                <w:iCs/>
                <w:snapToGrid w:val="0"/>
              </w:rPr>
              <w:t>Update:</w:t>
            </w:r>
            <w:r w:rsidRPr="000416CA">
              <w:rPr>
                <w:bCs/>
                <w:iCs/>
                <w:snapToGrid w:val="0"/>
              </w:rPr>
              <w:t xml:space="preserve"> None</w:t>
            </w:r>
          </w:p>
          <w:p w14:paraId="28F92D12" w14:textId="77777777" w:rsidR="00777992" w:rsidRDefault="00777992" w:rsidP="00151AD3">
            <w:pPr>
              <w:rPr>
                <w:b/>
                <w:iCs/>
                <w:snapToGrid w:val="0"/>
              </w:rPr>
            </w:pPr>
          </w:p>
          <w:p w14:paraId="7A42DC9C" w14:textId="77777777" w:rsidR="00777992" w:rsidRPr="00FC26D6" w:rsidRDefault="00777992" w:rsidP="00151AD3"/>
        </w:tc>
      </w:tr>
      <w:tr w:rsidR="00777992" w:rsidRPr="00783159" w14:paraId="035B57A1" w14:textId="77777777" w:rsidTr="00151AD3">
        <w:tc>
          <w:tcPr>
            <w:tcW w:w="1129" w:type="dxa"/>
            <w:shd w:val="clear" w:color="auto" w:fill="D9F2D0" w:themeFill="accent6" w:themeFillTint="33"/>
          </w:tcPr>
          <w:p w14:paraId="59E3DDE6" w14:textId="3EC3444B" w:rsidR="00777992" w:rsidRPr="00783159" w:rsidRDefault="00151AD3" w:rsidP="00151AD3">
            <w:pPr>
              <w:jc w:val="center"/>
              <w:rPr>
                <w:rFonts w:eastAsia="Calibri"/>
                <w:b/>
                <w:bCs/>
                <w:lang w:val="en-AU" w:eastAsia="fr-FR"/>
              </w:rPr>
            </w:pPr>
            <w:r>
              <w:rPr>
                <w:rFonts w:eastAsia="Calibri"/>
                <w:b/>
                <w:bCs/>
                <w:lang w:val="en-AU" w:eastAsia="fr-FR"/>
              </w:rPr>
              <w:t>WPDCS19</w:t>
            </w:r>
            <w:r w:rsidR="00777992" w:rsidRPr="00783159">
              <w:rPr>
                <w:rFonts w:eastAsia="Calibri"/>
                <w:b/>
                <w:bCs/>
                <w:lang w:val="en-AU" w:eastAsia="fr-FR"/>
              </w:rPr>
              <w:t>.</w:t>
            </w:r>
            <w:r w:rsidR="00447BD9">
              <w:rPr>
                <w:rFonts w:eastAsia="Calibri"/>
                <w:b/>
                <w:bCs/>
                <w:lang w:val="en-AU" w:eastAsia="fr-FR"/>
              </w:rPr>
              <w:t>07</w:t>
            </w:r>
            <w:r w:rsidR="00777992" w:rsidRPr="00783159">
              <w:rPr>
                <w:rFonts w:eastAsia="Calibri"/>
                <w:b/>
                <w:bCs/>
                <w:lang w:val="en-AU" w:eastAsia="fr-FR"/>
              </w:rPr>
              <w:t xml:space="preserve"> (para. </w:t>
            </w:r>
            <w:r w:rsidR="00447BD9">
              <w:rPr>
                <w:rFonts w:eastAsia="Calibri"/>
                <w:b/>
                <w:bCs/>
                <w:lang w:val="en-AU" w:eastAsia="fr-FR"/>
              </w:rPr>
              <w:t>316</w:t>
            </w:r>
            <w:r w:rsidR="00777992" w:rsidRPr="00783159">
              <w:rPr>
                <w:rFonts w:eastAsia="Calibri"/>
                <w:b/>
                <w:bCs/>
                <w:lang w:val="en-AU" w:eastAsia="fr-FR"/>
              </w:rPr>
              <w:t>)</w:t>
            </w:r>
          </w:p>
        </w:tc>
        <w:tc>
          <w:tcPr>
            <w:tcW w:w="4442" w:type="dxa"/>
            <w:shd w:val="clear" w:color="auto" w:fill="D9F2D0" w:themeFill="accent6" w:themeFillTint="33"/>
          </w:tcPr>
          <w:p w14:paraId="15C4B6B8" w14:textId="30DBF264" w:rsidR="00777992" w:rsidRDefault="00777992" w:rsidP="00151AD3">
            <w:pPr>
              <w:rPr>
                <w:b/>
                <w:bCs/>
              </w:rPr>
            </w:pPr>
            <w:r>
              <w:rPr>
                <w:b/>
                <w:i/>
              </w:rPr>
              <w:t>Review of the draft, and adoption of the report of the 1</w:t>
            </w:r>
            <w:r w:rsidR="00447BD9">
              <w:rPr>
                <w:b/>
                <w:i/>
              </w:rPr>
              <w:t>9</w:t>
            </w:r>
            <w:r>
              <w:rPr>
                <w:b/>
                <w:i/>
                <w:vertAlign w:val="superscript"/>
              </w:rPr>
              <w:t>th</w:t>
            </w:r>
            <w:r>
              <w:rPr>
                <w:b/>
                <w:i/>
              </w:rPr>
              <w:t xml:space="preserve"> Session of the WPDCS</w:t>
            </w:r>
            <w:r w:rsidRPr="00783159">
              <w:rPr>
                <w:b/>
                <w:bCs/>
              </w:rPr>
              <w:t xml:space="preserve"> </w:t>
            </w:r>
          </w:p>
          <w:p w14:paraId="36A2757B" w14:textId="6EC2C9BB" w:rsidR="00777992" w:rsidRPr="00783159" w:rsidRDefault="00447BD9" w:rsidP="00151AD3">
            <w:pPr>
              <w:rPr>
                <w:b/>
                <w:bCs/>
              </w:rPr>
            </w:pPr>
            <w:r w:rsidRPr="00447BD9">
              <w:t xml:space="preserve">The WPDCS </w:t>
            </w:r>
            <w:r w:rsidRPr="00447BD9">
              <w:rPr>
                <w:b/>
                <w:bCs/>
              </w:rPr>
              <w:t>RECOMMENDED</w:t>
            </w:r>
            <w:r w:rsidRPr="00447BD9">
              <w:t xml:space="preserve"> that the Scientific Committee consider the consolidated set of recommendations arising from WPDCS19, provided at Appendix VI</w:t>
            </w:r>
          </w:p>
        </w:tc>
        <w:tc>
          <w:tcPr>
            <w:tcW w:w="1224" w:type="dxa"/>
            <w:shd w:val="clear" w:color="auto" w:fill="F2CEED" w:themeFill="accent5" w:themeFillTint="33"/>
          </w:tcPr>
          <w:p w14:paraId="1181B1D9" w14:textId="340C92EC" w:rsidR="00777992" w:rsidRPr="00783159" w:rsidRDefault="00151AD3" w:rsidP="00151AD3">
            <w:pPr>
              <w:jc w:val="center"/>
              <w:rPr>
                <w:b/>
                <w:bCs/>
                <w:lang w:val="en-US"/>
              </w:rPr>
            </w:pPr>
            <w:r>
              <w:rPr>
                <w:b/>
                <w:bCs/>
                <w:lang w:val="en-US"/>
              </w:rPr>
              <w:t>SC26</w:t>
            </w:r>
            <w:r w:rsidR="00777992">
              <w:rPr>
                <w:b/>
                <w:bCs/>
                <w:lang w:val="en-US"/>
              </w:rPr>
              <w:t>.38 (para. 19</w:t>
            </w:r>
            <w:r w:rsidR="00447BD9">
              <w:rPr>
                <w:b/>
                <w:bCs/>
                <w:lang w:val="en-US"/>
              </w:rPr>
              <w:t>6</w:t>
            </w:r>
            <w:r w:rsidR="00777992">
              <w:rPr>
                <w:b/>
                <w:bCs/>
                <w:lang w:val="en-US"/>
              </w:rPr>
              <w:t>)</w:t>
            </w:r>
          </w:p>
        </w:tc>
        <w:tc>
          <w:tcPr>
            <w:tcW w:w="4248" w:type="dxa"/>
            <w:shd w:val="clear" w:color="auto" w:fill="F2CEED" w:themeFill="accent5" w:themeFillTint="33"/>
          </w:tcPr>
          <w:p w14:paraId="37909438" w14:textId="5CFE8578" w:rsidR="00777992" w:rsidRPr="009743A7" w:rsidRDefault="00777992" w:rsidP="00151AD3">
            <w:pPr>
              <w:pStyle w:val="Default"/>
              <w:jc w:val="both"/>
              <w:rPr>
                <w:sz w:val="22"/>
                <w:szCs w:val="22"/>
              </w:rPr>
            </w:pPr>
            <w:r w:rsidRPr="00537971">
              <w:rPr>
                <w:b/>
                <w:bCs/>
                <w:sz w:val="22"/>
                <w:szCs w:val="22"/>
              </w:rPr>
              <w:t>Update</w:t>
            </w:r>
            <w:r>
              <w:rPr>
                <w:sz w:val="22"/>
                <w:szCs w:val="22"/>
              </w:rPr>
              <w:t xml:space="preserve">: </w:t>
            </w:r>
            <w:r>
              <w:t xml:space="preserve"> </w:t>
            </w:r>
            <w:r w:rsidR="00447BD9" w:rsidRPr="00447BD9">
              <w:rPr>
                <w:sz w:val="22"/>
                <w:szCs w:val="22"/>
              </w:rPr>
              <w:t xml:space="preserve">The SC </w:t>
            </w:r>
            <w:r w:rsidR="00447BD9" w:rsidRPr="00447BD9">
              <w:rPr>
                <w:b/>
                <w:bCs/>
                <w:sz w:val="22"/>
                <w:szCs w:val="22"/>
              </w:rPr>
              <w:t>RECOMMENDED</w:t>
            </w:r>
            <w:r w:rsidR="00447BD9" w:rsidRPr="00447BD9">
              <w:rPr>
                <w:sz w:val="22"/>
                <w:szCs w:val="22"/>
              </w:rPr>
              <w:t xml:space="preserve"> that the Commission consider the consolidated set of recommendations arising from SC26, provided at Appendix 38.</w:t>
            </w:r>
          </w:p>
        </w:tc>
        <w:tc>
          <w:tcPr>
            <w:tcW w:w="1148" w:type="dxa"/>
            <w:shd w:val="clear" w:color="auto" w:fill="83CAEB" w:themeFill="accent1" w:themeFillTint="66"/>
          </w:tcPr>
          <w:p w14:paraId="4092FFA3" w14:textId="2F60415F" w:rsidR="00777992" w:rsidRDefault="00151AD3" w:rsidP="00151AD3">
            <w:pPr>
              <w:spacing w:after="0" w:line="240" w:lineRule="auto"/>
              <w:jc w:val="center"/>
              <w:rPr>
                <w:b/>
                <w:iCs/>
                <w:snapToGrid w:val="0"/>
              </w:rPr>
            </w:pPr>
            <w:r>
              <w:rPr>
                <w:b/>
                <w:iCs/>
                <w:snapToGrid w:val="0"/>
              </w:rPr>
              <w:t>S28</w:t>
            </w:r>
          </w:p>
          <w:p w14:paraId="6265DB24" w14:textId="49687585" w:rsidR="00777992" w:rsidRPr="00783159" w:rsidRDefault="00777992" w:rsidP="00151AD3">
            <w:pPr>
              <w:spacing w:after="0" w:line="240" w:lineRule="auto"/>
              <w:jc w:val="center"/>
              <w:rPr>
                <w:b/>
                <w:iCs/>
                <w:snapToGrid w:val="0"/>
              </w:rPr>
            </w:pPr>
            <w:r>
              <w:rPr>
                <w:b/>
                <w:iCs/>
                <w:snapToGrid w:val="0"/>
              </w:rPr>
              <w:t xml:space="preserve">(para. </w:t>
            </w:r>
            <w:r w:rsidR="00447BD9">
              <w:rPr>
                <w:b/>
                <w:iCs/>
                <w:snapToGrid w:val="0"/>
              </w:rPr>
              <w:t>28</w:t>
            </w:r>
            <w:r>
              <w:rPr>
                <w:b/>
                <w:iCs/>
                <w:snapToGrid w:val="0"/>
              </w:rPr>
              <w:t>)</w:t>
            </w:r>
          </w:p>
        </w:tc>
        <w:tc>
          <w:tcPr>
            <w:tcW w:w="2694" w:type="dxa"/>
            <w:shd w:val="clear" w:color="auto" w:fill="83CAEB" w:themeFill="accent1" w:themeFillTint="66"/>
          </w:tcPr>
          <w:p w14:paraId="7894E67E" w14:textId="36D2BD93" w:rsidR="00777992" w:rsidRPr="00783159" w:rsidRDefault="00777992" w:rsidP="00151AD3">
            <w:pPr>
              <w:rPr>
                <w:b/>
                <w:iCs/>
                <w:snapToGrid w:val="0"/>
              </w:rPr>
            </w:pPr>
            <w:r>
              <w:rPr>
                <w:b/>
                <w:iCs/>
                <w:snapToGrid w:val="0"/>
              </w:rPr>
              <w:t>Update:</w:t>
            </w:r>
            <w:r w:rsidRPr="00691593">
              <w:rPr>
                <w:bCs/>
                <w:iCs/>
                <w:snapToGrid w:val="0"/>
              </w:rPr>
              <w:t xml:space="preserve"> </w:t>
            </w:r>
            <w:r w:rsidRPr="007A3ADD">
              <w:t xml:space="preserve"> The Commission </w:t>
            </w:r>
            <w:r w:rsidRPr="007A3ADD">
              <w:rPr>
                <w:b/>
              </w:rPr>
              <w:t>ENDORSED</w:t>
            </w:r>
            <w:r w:rsidRPr="007A3ADD">
              <w:t xml:space="preserve"> the Scientific Committee’s 202</w:t>
            </w:r>
            <w:r w:rsidR="00447BD9">
              <w:t>3</w:t>
            </w:r>
            <w:r w:rsidRPr="007A3ADD">
              <w:t xml:space="preserve"> list of recommendations as its own.</w:t>
            </w:r>
          </w:p>
        </w:tc>
      </w:tr>
    </w:tbl>
    <w:p w14:paraId="5BE2C79A" w14:textId="77777777" w:rsidR="00FD2906" w:rsidRDefault="00FD2906"/>
    <w:sectPr w:rsidR="00FD2906" w:rsidSect="0077799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86477"/>
    <w:multiLevelType w:val="hybridMultilevel"/>
    <w:tmpl w:val="C2582D96"/>
    <w:lvl w:ilvl="0" w:tplc="519650D2">
      <w:start w:val="1"/>
      <w:numFmt w:val="lowerLetter"/>
      <w:lvlText w:val="%1."/>
      <w:lvlJc w:val="left"/>
      <w:pPr>
        <w:ind w:left="1080" w:hanging="360"/>
      </w:pPr>
      <w:rPr>
        <w:rFonts w:ascii="Calibri" w:hAnsi="Calibri" w:cs="Calibri"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 w15:restartNumberingAfterBreak="0">
    <w:nsid w:val="4F5E1AE6"/>
    <w:multiLevelType w:val="hybridMultilevel"/>
    <w:tmpl w:val="EC365194"/>
    <w:lvl w:ilvl="0" w:tplc="0374C3F8">
      <w:start w:val="1"/>
      <w:numFmt w:val="decimal"/>
      <w:pStyle w:val="paranormal"/>
      <w:lvlText w:val="%1."/>
      <w:lvlJc w:val="left"/>
      <w:pPr>
        <w:ind w:left="450" w:hanging="360"/>
      </w:pPr>
      <w:rPr>
        <w:b w:val="0"/>
        <w:bCs w:val="0"/>
        <w:i w:val="0"/>
        <w:iCs w:val="0"/>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594B72"/>
    <w:multiLevelType w:val="hybridMultilevel"/>
    <w:tmpl w:val="D3A297FE"/>
    <w:lvl w:ilvl="0" w:tplc="9AA66C3C">
      <w:start w:val="1"/>
      <w:numFmt w:val="decimal"/>
      <w:pStyle w:val="00Numberedparagraph"/>
      <w:lvlText w:val="%1."/>
      <w:lvlJc w:val="left"/>
      <w:pPr>
        <w:ind w:left="720" w:hanging="360"/>
      </w:pPr>
      <w:rPr>
        <w:b w:val="0"/>
        <w:bCs/>
        <w:color w:val="auto"/>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966323">
    <w:abstractNumId w:val="2"/>
  </w:num>
  <w:num w:numId="2" w16cid:durableId="1641416868">
    <w:abstractNumId w:val="0"/>
  </w:num>
  <w:num w:numId="3" w16cid:durableId="28177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O2sDSxNDI3tTQyNDZV0lEKTi0uzszPAykwqgUAi4rbSiwAAAA="/>
  </w:docVars>
  <w:rsids>
    <w:rsidRoot w:val="00777992"/>
    <w:rsid w:val="000E2E3D"/>
    <w:rsid w:val="00151AD3"/>
    <w:rsid w:val="00447BD9"/>
    <w:rsid w:val="00777992"/>
    <w:rsid w:val="00947C4F"/>
    <w:rsid w:val="00A06942"/>
    <w:rsid w:val="00AF28D0"/>
    <w:rsid w:val="00FD2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283B"/>
  <w15:chartTrackingRefBased/>
  <w15:docId w15:val="{18D3EE4D-31A0-44A4-B96A-160142F6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992"/>
    <w:pPr>
      <w:jc w:val="both"/>
    </w:pPr>
    <w:rPr>
      <w:kern w:val="0"/>
      <w14:ligatures w14:val="none"/>
    </w:rPr>
  </w:style>
  <w:style w:type="paragraph" w:styleId="Heading1">
    <w:name w:val="heading 1"/>
    <w:basedOn w:val="Normal"/>
    <w:next w:val="Normal"/>
    <w:link w:val="Heading1Char"/>
    <w:uiPriority w:val="9"/>
    <w:qFormat/>
    <w:rsid w:val="00777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9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9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9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9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9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9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9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992"/>
    <w:rPr>
      <w:rFonts w:eastAsiaTheme="majorEastAsia" w:cstheme="majorBidi"/>
      <w:color w:val="272727" w:themeColor="text1" w:themeTint="D8"/>
    </w:rPr>
  </w:style>
  <w:style w:type="paragraph" w:styleId="Title">
    <w:name w:val="Title"/>
    <w:basedOn w:val="Normal"/>
    <w:next w:val="Normal"/>
    <w:link w:val="TitleChar"/>
    <w:uiPriority w:val="10"/>
    <w:qFormat/>
    <w:rsid w:val="00777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992"/>
    <w:pPr>
      <w:spacing w:before="160"/>
      <w:jc w:val="center"/>
    </w:pPr>
    <w:rPr>
      <w:i/>
      <w:iCs/>
      <w:color w:val="404040" w:themeColor="text1" w:themeTint="BF"/>
    </w:rPr>
  </w:style>
  <w:style w:type="character" w:customStyle="1" w:styleId="QuoteChar">
    <w:name w:val="Quote Char"/>
    <w:basedOn w:val="DefaultParagraphFont"/>
    <w:link w:val="Quote"/>
    <w:uiPriority w:val="29"/>
    <w:rsid w:val="00777992"/>
    <w:rPr>
      <w:i/>
      <w:iCs/>
      <w:color w:val="404040" w:themeColor="text1" w:themeTint="BF"/>
    </w:rPr>
  </w:style>
  <w:style w:type="paragraph" w:styleId="ListParagraph">
    <w:name w:val="List Paragraph"/>
    <w:aliases w:val="Graphic Caption"/>
    <w:basedOn w:val="Normal"/>
    <w:link w:val="ListParagraphChar"/>
    <w:uiPriority w:val="34"/>
    <w:qFormat/>
    <w:rsid w:val="00777992"/>
    <w:pPr>
      <w:ind w:left="720"/>
      <w:contextualSpacing/>
    </w:pPr>
  </w:style>
  <w:style w:type="character" w:styleId="IntenseEmphasis">
    <w:name w:val="Intense Emphasis"/>
    <w:basedOn w:val="DefaultParagraphFont"/>
    <w:uiPriority w:val="21"/>
    <w:qFormat/>
    <w:rsid w:val="00777992"/>
    <w:rPr>
      <w:i/>
      <w:iCs/>
      <w:color w:val="0F4761" w:themeColor="accent1" w:themeShade="BF"/>
    </w:rPr>
  </w:style>
  <w:style w:type="paragraph" w:styleId="IntenseQuote">
    <w:name w:val="Intense Quote"/>
    <w:basedOn w:val="Normal"/>
    <w:next w:val="Normal"/>
    <w:link w:val="IntenseQuoteChar"/>
    <w:uiPriority w:val="30"/>
    <w:qFormat/>
    <w:rsid w:val="00777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992"/>
    <w:rPr>
      <w:i/>
      <w:iCs/>
      <w:color w:val="0F4761" w:themeColor="accent1" w:themeShade="BF"/>
    </w:rPr>
  </w:style>
  <w:style w:type="character" w:styleId="IntenseReference">
    <w:name w:val="Intense Reference"/>
    <w:basedOn w:val="DefaultParagraphFont"/>
    <w:uiPriority w:val="32"/>
    <w:qFormat/>
    <w:rsid w:val="00777992"/>
    <w:rPr>
      <w:b/>
      <w:bCs/>
      <w:smallCaps/>
      <w:color w:val="0F4761" w:themeColor="accent1" w:themeShade="BF"/>
      <w:spacing w:val="5"/>
    </w:rPr>
  </w:style>
  <w:style w:type="character" w:styleId="Hyperlink">
    <w:name w:val="Hyperlink"/>
    <w:uiPriority w:val="99"/>
    <w:qFormat/>
    <w:rsid w:val="00777992"/>
    <w:rPr>
      <w:color w:val="0000FF"/>
      <w:u w:val="single"/>
    </w:rPr>
  </w:style>
  <w:style w:type="paragraph" w:customStyle="1" w:styleId="Default">
    <w:name w:val="Default"/>
    <w:rsid w:val="00777992"/>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00Numberedparagraph">
    <w:name w:val="00 Numbered paragraph"/>
    <w:basedOn w:val="Normal"/>
    <w:qFormat/>
    <w:rsid w:val="00777992"/>
    <w:pPr>
      <w:numPr>
        <w:numId w:val="1"/>
      </w:numPr>
      <w:spacing w:before="120" w:after="0" w:line="240" w:lineRule="auto"/>
    </w:pPr>
    <w:rPr>
      <w:rFonts w:ascii="Calibri" w:eastAsia="Times New Roman" w:hAnsi="Calibri" w:cs="Times New Roman"/>
      <w:snapToGrid w:val="0"/>
      <w:color w:val="000000" w:themeColor="text1"/>
    </w:rPr>
  </w:style>
  <w:style w:type="character" w:customStyle="1" w:styleId="ListParagraphChar">
    <w:name w:val="List Paragraph Char"/>
    <w:aliases w:val="Graphic Caption Char"/>
    <w:basedOn w:val="DefaultParagraphFont"/>
    <w:link w:val="ListParagraph"/>
    <w:uiPriority w:val="34"/>
    <w:qFormat/>
    <w:rsid w:val="00777992"/>
  </w:style>
  <w:style w:type="paragraph" w:customStyle="1" w:styleId="paranormal">
    <w:name w:val="para normal"/>
    <w:basedOn w:val="ListParagraph"/>
    <w:link w:val="paranormalChar"/>
    <w:qFormat/>
    <w:rsid w:val="00777992"/>
    <w:pPr>
      <w:numPr>
        <w:numId w:val="3"/>
      </w:numPr>
      <w:spacing w:before="120" w:after="120"/>
      <w:contextualSpacing w:val="0"/>
    </w:pPr>
    <w:rPr>
      <w:rFonts w:ascii="Calibri" w:eastAsia="Times New Roman" w:hAnsi="Calibri" w:cs="Calibri"/>
      <w:snapToGrid w:val="0"/>
      <w:color w:val="000000"/>
    </w:rPr>
  </w:style>
  <w:style w:type="character" w:customStyle="1" w:styleId="paranormalChar">
    <w:name w:val="para normal Char"/>
    <w:basedOn w:val="ListParagraphChar"/>
    <w:link w:val="paranormal"/>
    <w:rsid w:val="00777992"/>
    <w:rPr>
      <w:rFonts w:ascii="Calibri" w:eastAsia="Times New Roman" w:hAnsi="Calibri" w:cs="Calibri"/>
      <w:snapToGrid w:val="0"/>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Lucia (NFITD)</dc:creator>
  <cp:keywords/>
  <dc:description/>
  <cp:lastModifiedBy>Pierre, Lucia (NFITD)</cp:lastModifiedBy>
  <cp:revision>5</cp:revision>
  <dcterms:created xsi:type="dcterms:W3CDTF">2024-11-18T07:44:00Z</dcterms:created>
  <dcterms:modified xsi:type="dcterms:W3CDTF">2024-11-19T09:19:00Z</dcterms:modified>
</cp:coreProperties>
</file>