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4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Simulation</w:t>
      </w:r>
      <w:r>
        <w:t xml:space="preserve"> </w:t>
      </w:r>
      <w:r>
        <w:t xml:space="preserve">scenarios</w:t>
      </w:r>
    </w:p>
    <w:p>
      <w:pPr>
        <w:pStyle w:val="Author"/>
      </w:pPr>
      <w:r>
        <w:t xml:space="preserve">Author:</w:t>
      </w:r>
      <w:r>
        <w:t xml:space="preserve"> </w:t>
      </w:r>
      <w:hyperlink r:id="rId20">
        <w:r>
          <w:rPr>
            <w:rStyle w:val="Hyperlink"/>
          </w:rPr>
          <w:t xml:space="preserve">IOTC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Secretariat</w:t>
        </w:r>
      </w:hyperlink>
    </w:p>
    <w:p>
      <w:pPr>
        <w:sectPr w:officer="true">
          <w:headerReference w:type="default" r:id="rId21"/>
          <w:headerReference w:type="first" r:id="rId22"/>
          <w:cols/>
          <w:titlePg/>
          <w:pgSz w:code="1" w:h="15840" w:w="12240"/>
          <w:pgMar w:bottom="709" w:footer="567" w:gutter="0" w:header="284" w:left="709" w:right="1418" w:top="851"/>
        </w:sectPr>
      </w:pPr>
    </w:p>
    <w:bookmarkStart w:id="22" w:name="general-scenario-configuration"/>
    <w:p>
      <w:pPr>
        <w:pStyle w:val="Heading1"/>
      </w:pPr>
      <w:r>
        <w:t xml:space="preserve">General scenario configuration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6964"/>
        <w:gridCol w:w="955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Stock of interest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Yellowfin tuna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allowable catch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300,000 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Main allocation components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1 - Baseline weight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2 - Coastal state weight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3 - Catch-based weight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Coastal State components (item 2)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2.1 - Equal share weight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2.2 - Socio-economic weight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2.3 - National jurisdiction area surface weight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Socio-economic weight components (item 2.2)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2.2.1 - Human Development Index status weight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2.2.2 - Gross national income status weight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2.2.3 - Small Islands Development status weight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Catch-based configuration parameters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years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2000-2016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Reference method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period_average_catch_data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 of foreign catch taken in NJA re-attributed to coastal states (Year 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 of foreign catch taken in NJA re-attributed to coastal states (Year 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 of foreign catch taken in NJA re-attributed to coastal states (Year 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 of foreign catch taken in NJA re-attributed to coastal states (Year 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 of foreign catch taken in NJA re-attributed to coastal states (Year 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 of foreign catch taken in NJA re-attributed to coastal states (Year 6)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 of foreign catch taken in NJA re-attributed to coastal states (Year 7)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 of foreign catch taken in NJA re-attributed to coastal states (Year 8)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 of foreign catch taken in NJA re-attributed to coastal states (Year 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 of foreign catch taken in NJA re-attributed to coastal states (Year 10)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100%</w:t>
            </w:r>
          </w:p>
        </w:tc>
      </w:tr>
    </w:tbl>
    <w:p>
      <w:r>
        <w:br w:type="page"/>
      </w:r>
    </w:p>
    <w:bookmarkStart w:id="21" w:name="baseline-allocation"/>
    <w:p>
      <w:pPr>
        <w:pStyle w:val="Heading2"/>
      </w:pPr>
      <w:r>
        <w:t xml:space="preserve">Baseline allocation</w:t>
      </w:r>
    </w:p>
    <w:p>
      <w:pPr>
        <w:pStyle w:val="TableCaption"/>
      </w:pPr>
      <w:r>
        <w:rPr/>
        <w:t xml:space="preserve">Tab.  </w:t>
      </w:r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SEQ tab \* Arabic</w:instrText>
      </w:r>
      <w:r xmlns:w14="http://schemas.microsoft.com/office/word/2010/wordml">
        <w:rPr/>
        <w:fldChar w:fldCharType="end" w:dirty="true"/>
      </w:r>
      <w:r>
        <w:rPr/>
        <w:t xml:space="preserve">.  </w:t>
      </w:r>
      <w:r>
        <w:t xml:space="preserve">Baseline allocation (%) of the Total Allowable Catch (TAC) for yellowfin tuna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249"/>
        <w:gridCol w:w="4351"/>
        <w:gridCol w:w="878"/>
        <w:gridCol w:w="2101"/>
      </w:tblGrid>
      <w:tr>
        <w:trPr>
          <w:cantSplit/>
          <w:trHeight w:val="567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Entity code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Entity 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Status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666666"/>
              <w:right w:val="single" w:sz="16" w:space="0" w:color="000000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Baseline allocation (%)</w:t>
            </w:r>
          </w:p>
        </w:tc>
      </w:tr>
      <w:tr>
        <w:trPr>
          <w:cantSplit/>
          <w:trHeight w:val="535" w:hRule="auto"/>
        </w:trPr>
        <w:tc>
          <w:tcPr>
            <w:tcBorders>
              <w:bottom w:val="single" w:sz="8" w:space="0" w:color="666666"/>
              <w:left w:val="single" w:sz="16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AUS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Australia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CP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3.333333</w:t>
            </w:r>
          </w:p>
        </w:tc>
      </w:tr>
      <w:tr>
        <w:trPr>
          <w:cantSplit/>
          <w:trHeight w:val="565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16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BGD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Bangladesh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3.333333</w:t>
            </w:r>
          </w:p>
        </w:tc>
      </w:tr>
      <w:tr>
        <w:trPr>
          <w:cantSplit/>
          <w:trHeight w:val="535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16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CHN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China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3.333333</w:t>
            </w:r>
          </w:p>
        </w:tc>
      </w:tr>
      <w:tr>
        <w:trPr>
          <w:cantSplit/>
          <w:trHeight w:val="528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16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COM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Comoros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3.333333</w:t>
            </w:r>
          </w:p>
        </w:tc>
      </w:tr>
      <w:tr>
        <w:trPr>
          <w:cantSplit/>
          <w:trHeight w:val="559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16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EUR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European Union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3.333333</w:t>
            </w:r>
          </w:p>
        </w:tc>
      </w:tr>
      <w:tr>
        <w:trPr>
          <w:cantSplit/>
          <w:trHeight w:val="56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16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FRAT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France (OT)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3.333333</w:t>
            </w:r>
          </w:p>
        </w:tc>
      </w:tr>
      <w:tr>
        <w:trPr>
          <w:cantSplit/>
          <w:trHeight w:val="56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16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GBR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United Kingdom of Great Britain and Northern Ireland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3.333333</w:t>
            </w:r>
          </w:p>
        </w:tc>
      </w:tr>
      <w:tr>
        <w:trPr>
          <w:cantSplit/>
          <w:trHeight w:val="53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16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IDN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Indonesia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3.333333</w:t>
            </w:r>
          </w:p>
        </w:tc>
      </w:tr>
      <w:tr>
        <w:trPr>
          <w:cantSplit/>
          <w:trHeight w:val="53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16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IND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India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3.333333</w:t>
            </w:r>
          </w:p>
        </w:tc>
      </w:tr>
      <w:tr>
        <w:trPr>
          <w:cantSplit/>
          <w:trHeight w:val="56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16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IRN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Iran (Islamic Republic of)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3.333333</w:t>
            </w:r>
          </w:p>
        </w:tc>
      </w:tr>
      <w:tr>
        <w:trPr>
          <w:cantSplit/>
          <w:trHeight w:val="55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16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JPN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Japan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3.333333</w:t>
            </w:r>
          </w:p>
        </w:tc>
      </w:tr>
      <w:tr>
        <w:trPr>
          <w:cantSplit/>
          <w:trHeight w:val="55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16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KEN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Kenya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3.333333</w:t>
            </w:r>
          </w:p>
        </w:tc>
      </w:tr>
      <w:tr>
        <w:trPr>
          <w:cantSplit/>
          <w:trHeight w:val="56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16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KOR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Republic of Korea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3.333333</w:t>
            </w:r>
          </w:p>
        </w:tc>
      </w:tr>
      <w:tr>
        <w:trPr>
          <w:cantSplit/>
          <w:trHeight w:val="535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16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LKA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Sri Lanka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3.333333</w:t>
            </w:r>
          </w:p>
        </w:tc>
      </w:tr>
      <w:tr>
        <w:trPr>
          <w:cantSplit/>
          <w:trHeight w:val="565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16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MDG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Madagascar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3.333333</w:t>
            </w:r>
          </w:p>
        </w:tc>
      </w:tr>
      <w:tr>
        <w:trPr>
          <w:cantSplit/>
          <w:trHeight w:val="535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16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MDV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Maldives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3.333333</w:t>
            </w:r>
          </w:p>
        </w:tc>
      </w:tr>
      <w:tr>
        <w:trPr>
          <w:cantSplit/>
          <w:trHeight w:val="565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16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MOZ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Mozambique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3.333333</w:t>
            </w:r>
          </w:p>
        </w:tc>
      </w:tr>
      <w:tr>
        <w:trPr>
          <w:cantSplit/>
          <w:trHeight w:val="529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16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MUS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Mauritius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3.333333</w:t>
            </w:r>
          </w:p>
        </w:tc>
      </w:tr>
      <w:tr>
        <w:trPr>
          <w:cantSplit/>
          <w:trHeight w:val="565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16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MYS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Malaysia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3.333333</w:t>
            </w:r>
          </w:p>
        </w:tc>
      </w:tr>
      <w:tr>
        <w:trPr>
          <w:cantSplit/>
          <w:trHeight w:val="528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16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OMN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Oman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3.333333</w:t>
            </w:r>
          </w:p>
        </w:tc>
      </w:tr>
      <w:tr>
        <w:trPr>
          <w:cantSplit/>
          <w:trHeight w:val="535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16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PAK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Pakistan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3.333333</w:t>
            </w:r>
          </w:p>
        </w:tc>
      </w:tr>
      <w:tr>
        <w:trPr>
          <w:cantSplit/>
          <w:trHeight w:val="565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16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PHL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Philippines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3.333333</w:t>
            </w:r>
          </w:p>
        </w:tc>
      </w:tr>
      <w:tr>
        <w:trPr>
          <w:cantSplit/>
          <w:trHeight w:val="53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16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SDN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Sudan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3.333333</w:t>
            </w:r>
          </w:p>
        </w:tc>
      </w:tr>
      <w:tr>
        <w:trPr>
          <w:cantSplit/>
          <w:trHeight w:val="535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16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SOM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Somalia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3.333333</w:t>
            </w:r>
          </w:p>
        </w:tc>
      </w:tr>
      <w:tr>
        <w:trPr>
          <w:cantSplit/>
          <w:trHeight w:val="565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16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SYC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Seychelles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3.333333</w:t>
            </w:r>
          </w:p>
        </w:tc>
      </w:tr>
      <w:tr>
        <w:trPr>
          <w:cantSplit/>
          <w:trHeight w:val="535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16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THA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Thailand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3.333333</w:t>
            </w:r>
          </w:p>
        </w:tc>
      </w:tr>
      <w:tr>
        <w:trPr>
          <w:cantSplit/>
          <w:trHeight w:val="535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16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TWN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Taiwan Province of China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OBS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3.333333</w:t>
            </w:r>
          </w:p>
        </w:tc>
      </w:tr>
      <w:tr>
        <w:trPr>
          <w:cantSplit/>
          <w:trHeight w:val="56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16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TZA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United Republic of Tanzania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3.333333</w:t>
            </w:r>
          </w:p>
        </w:tc>
      </w:tr>
      <w:tr>
        <w:trPr>
          <w:cantSplit/>
          <w:trHeight w:val="528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16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YEM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Yemen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3.333333</w:t>
            </w:r>
          </w:p>
        </w:tc>
      </w:tr>
      <w:tr>
        <w:trPr>
          <w:cantSplit/>
          <w:trHeight w:val="535" w:hRule="auto"/>
        </w:trPr>
        <w:tc>
          <w:tcPr>
            <w:tcBorders>
              <w:bottom w:val="single" w:sz="16" w:space="0" w:color="000000"/>
              <w:top w:val="single" w:sz="8" w:space="0" w:color="666666"/>
              <w:left w:val="single" w:sz="16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ZAF</w:t>
            </w:r>
          </w:p>
        </w:tc>
        <w:tc>
          <w:tcPr>
            <w:tcBorders>
              <w:bottom w:val="single" w:sz="16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South Africa</w:t>
            </w:r>
          </w:p>
        </w:tc>
        <w:tc>
          <w:tcPr>
            <w:tcBorders>
              <w:bottom w:val="single" w:sz="16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CP</w:t>
            </w:r>
          </w:p>
        </w:tc>
        <w:tc>
          <w:tcPr>
            <w:tcBorders>
              <w:bottom w:val="single" w:sz="16" w:space="0" w:color="000000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3.333333</w:t>
            </w:r>
          </w:p>
        </w:tc>
      </w:tr>
    </w:tbl>
    <w:bookmarkEnd w:id="21"/>
    <w:bookmarkEnd w:id="22"/>
    <w:sectPr w:rsidR="00947F64" w:rsidSect="00642F9D">
      <w:footerReference r:id="rId9" w:type="default"/>
      <w:footerReference r:id="rId11" w:type="first"/>
      <w:type w:val="continuous"/>
      <w:pgSz w:code="1" w:h="15840" w:w="12240"/>
      <w:pgMar w:bottom="709" w:footer="567" w:gutter="0" w:header="284" w:left="709" w:right="1418" w:top="851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71631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A5048F" w14:textId="2EF40A57" w:rsidR="00801142" w:rsidRDefault="00AF497C" w:rsidP="00DF7330">
        <w:pPr>
          <w:pStyle w:val="Footer"/>
          <w:jc w:val="center"/>
          <w:rPr>
            <w:noProof/>
          </w:rPr>
        </w:pPr>
        <w:r>
          <w:t xml:space="preserve">Page </w:t>
        </w:r>
        <w:r w:rsidRPr="007A2B9A">
          <w:fldChar w:fldCharType="begin"/>
        </w:r>
        <w:r w:rsidRPr="007A2B9A">
          <w:instrText xml:space="preserve"> PAGE   \* MERGEFORMAT </w:instrText>
        </w:r>
        <w:r w:rsidRPr="007A2B9A">
          <w:fldChar w:fldCharType="separate"/>
        </w:r>
        <w:r>
          <w:t>1</w:t>
        </w:r>
        <w:r w:rsidRPr="007A2B9A">
          <w:rPr>
            <w:noProof/>
          </w:rPr>
          <w:fldChar w:fldCharType="end"/>
        </w:r>
        <w:r w:rsidRPr="007A2B9A">
          <w:rPr>
            <w:noProof/>
          </w:rPr>
          <w:t xml:space="preserve"> </w:t>
        </w:r>
        <w:r>
          <w:rPr>
            <w:noProof/>
          </w:rPr>
          <w:t xml:space="preserve">of </w:t>
        </w:r>
        <w:r w:rsidRPr="007A2B9A">
          <w:rPr>
            <w:noProof/>
          </w:rPr>
          <w:fldChar w:fldCharType="begin"/>
        </w:r>
        <w:r w:rsidRPr="007A2B9A">
          <w:rPr>
            <w:noProof/>
          </w:rPr>
          <w:instrText xml:space="preserve"> NUMPAGES   \* MERGEFORMAT </w:instrText>
        </w:r>
        <w:r w:rsidRPr="007A2B9A">
          <w:rPr>
            <w:noProof/>
          </w:rPr>
          <w:fldChar w:fldCharType="separate"/>
        </w:r>
        <w:r>
          <w:rPr>
            <w:noProof/>
          </w:rPr>
          <w:t>3</w:t>
        </w:r>
        <w:r w:rsidRPr="007A2B9A"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4463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57832A" w14:textId="77777777" w:rsidR="008B37F9" w:rsidRDefault="008B37F9" w:rsidP="008B37F9">
        <w:pPr>
          <w:pStyle w:val="Footer"/>
          <w:pBdr>
            <w:top w:val="single" w:sz="4" w:space="1" w:color="auto"/>
          </w:pBdr>
          <w:spacing w:before="240"/>
          <w:jc w:val="center"/>
          <w:rPr>
            <w:noProof/>
          </w:rPr>
        </w:pPr>
        <w:r>
          <w:t xml:space="preserve">Page </w:t>
        </w:r>
        <w:r w:rsidRPr="007A2B9A">
          <w:rPr>
            <w:b/>
            <w:bCs/>
          </w:rPr>
          <w:fldChar w:fldCharType="begin"/>
        </w:r>
        <w:r w:rsidRPr="007A2B9A">
          <w:rPr>
            <w:b/>
            <w:bCs/>
          </w:rPr>
          <w:instrText xml:space="preserve"> PAGE   \* MERGEFORMAT </w:instrText>
        </w:r>
        <w:r w:rsidRPr="007A2B9A"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 w:rsidRPr="007A2B9A">
          <w:rPr>
            <w:b/>
            <w:bCs/>
            <w:noProof/>
          </w:rPr>
          <w:fldChar w:fldCharType="end"/>
        </w:r>
        <w:r w:rsidRPr="007A2B9A">
          <w:rPr>
            <w:b/>
            <w:bCs/>
            <w:noProof/>
          </w:rPr>
          <w:t xml:space="preserve"> </w:t>
        </w:r>
        <w:r>
          <w:rPr>
            <w:noProof/>
          </w:rPr>
          <w:t xml:space="preserve">of </w:t>
        </w:r>
        <w:r w:rsidRPr="007A2B9A">
          <w:rPr>
            <w:b/>
            <w:bCs/>
            <w:noProof/>
          </w:rPr>
          <w:fldChar w:fldCharType="begin"/>
        </w:r>
        <w:r w:rsidRPr="007A2B9A">
          <w:rPr>
            <w:b/>
            <w:bCs/>
            <w:noProof/>
          </w:rPr>
          <w:instrText xml:space="preserve"> NUMPAGES   \* MERGEFORMAT </w:instrText>
        </w:r>
        <w:r w:rsidRPr="007A2B9A">
          <w:rPr>
            <w:b/>
            <w:bCs/>
            <w:noProof/>
          </w:rPr>
          <w:fldChar w:fldCharType="separate"/>
        </w:r>
        <w:r>
          <w:rPr>
            <w:b/>
            <w:bCs/>
            <w:noProof/>
          </w:rPr>
          <w:t>3</w:t>
        </w:r>
        <w:r w:rsidRPr="007A2B9A">
          <w:rPr>
            <w:b/>
            <w:bCs/>
            <w:noProof/>
          </w:rPr>
          <w:fldChar w:fldCharType="end"/>
        </w:r>
      </w:p>
    </w:sdtContent>
  </w:sdt>
  <w:p w14:paraId="5ACA5596" w14:textId="77777777" w:rsidR="00A140DB" w:rsidRDefault="00A140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Content>
      <w:p w14:paraId="3D1EC268" w14:textId="77777777" w:rsidR="00566AB8" w:rsidRDefault="00000000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3E75">
          <w:rPr>
            <w:rStyle w:val="PageNumber"/>
            <w:noProof/>
          </w:rPr>
          <w:t>12</w:t>
        </w:r>
        <w:r>
          <w:rPr>
            <w:rStyle w:val="PageNumber"/>
          </w:rPr>
          <w:fldChar w:fldCharType="end"/>
        </w:r>
      </w:p>
    </w:sdtContent>
  </w:sdt>
  <w:p w14:paraId="6014DB3B" w14:textId="77777777" w:rsidR="00566AB8" w:rsidRDefault="00566AB8" w:rsidP="00676DF8">
    <w:pPr>
      <w:pStyle w:val="Footer"/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Content>
      <w:p w14:paraId="6A8BF2B4" w14:textId="77777777" w:rsidR="00566AB8" w:rsidRDefault="00000000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5EADCC7" w14:textId="77777777" w:rsidR="00566AB8" w:rsidRDefault="00566AB8" w:rsidP="00676DF8">
    <w:pPr>
      <w:pStyle w:val="Footer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Normal"/>
      <w:jc w:val="right"/>
      <w:pBdr>
        <w:bottom w:val="single" w:sz="8" w:space="0" w:color="000000"/>
        <w:top w:val="none" w:sz="0" w:space="0" w:color="000000"/>
        <w:left w:val="none" w:sz="0" w:space="0" w:color="000000"/>
        <w:right w:val="none" w:sz="0" w:space="0" w:color="000000"/>
      </w:pBdr>
      <w:spacing w:after="0" w:before="0" w:line="240"/>
      <w:ind w:left="0" w:right="0" w:firstLine="0" w:firstLineChars="0"/>
    </w:pPr>
    <w:r>
      <w:rPr>
        <w:rFonts/>
        <w:b w:val="false"/>
        <w:sz w:val="24"/>
        <w:szCs w:val="24"/>
        <w:color w:val="000000"/>
      </w:rPr>
      <w:t xml:space="preserve">IOTC Resolution 19/02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Normal"/>
      <w:jc w:val="right"/>
      <w:pBdr>
        <w:bottom w:val="single" w:sz="8" w:space="0" w:color="000000"/>
        <w:top w:val="none" w:sz="0" w:space="0" w:color="000000"/>
        <w:left w:val="none" w:sz="0" w:space="0" w:color="000000"/>
        <w:right w:val="none" w:sz="0" w:space="0" w:color="000000"/>
      </w:pBdr>
      <w:spacing w:after="0" w:before="0" w:line="240"/>
      <w:ind w:left="0" w:right="0" w:firstLine="0" w:firstLineChars="0"/>
    </w:pPr>
    <w:r>
      <w:rPr/>
      <w:drawing>
        <wp:inline distT="0" distB="0" distL="0" distR="0">
          <wp:extent cx="6574536" cy="649224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/>
                  <pic:cNvPicPr>
                    <a:picLocks noChangeAspect="1" noChangeArrowheads="1"/>
                  </pic:cNvPicPr>
                </pic:nvPicPr>
                <pic:blipFill>
                  <a:blip cstate="print"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1313" cy="901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/>
        <w:b w:val="false"/>
        <w:sz w:val="24"/>
        <w:szCs w:val="24"/>
        <w:color w:val="000000"/>
      </w:rPr>
      <w:t xml:space="preserve">IOTC Resolution 19/02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0"/>
    <w:multiLevelType w:val="singleLevel"/>
    <w:tmpl w:val="AB9E57FA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1">
    <w:nsid w:val="FFFFFF81"/>
    <w:multiLevelType w:val="singleLevel"/>
    <w:tmpl w:val="0F0483B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2">
    <w:nsid w:val="0000A991"/>
    <w:multiLevelType w:val="multilevel"/>
    <w:tmpl w:val="CCA8EC7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3">
    <w:nsid w:val="00A99411"/>
    <w:multiLevelType w:val="multilevel"/>
    <w:tmpl w:val="680E6E36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15:restartNumberingAfterBreak="0" w:abstractNumId="4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5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6">
    <w:nsid w:val="78191783"/>
    <w:multiLevelType w:val="multilevel"/>
    <w:tmpl w:val="4B88F87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pStyle w:val="Heading5"/>
      <w:lvlText w:val="%1.%2.%3.%4.%5."/>
      <w:lvlJc w:val="left"/>
      <w:pPr>
        <w:ind w:hanging="792" w:left="2232"/>
      </w:pPr>
    </w:lvl>
    <w:lvl w:ilvl="5">
      <w:start w:val="1"/>
      <w:numFmt w:val="decimal"/>
      <w:pStyle w:val="Heading6"/>
      <w:lvlText w:val="%1.%2.%3.%4.%5.%6."/>
      <w:lvlJc w:val="left"/>
      <w:pPr>
        <w:ind w:hanging="936" w:left="2736"/>
      </w:pPr>
    </w:lvl>
    <w:lvl w:ilvl="6">
      <w:start w:val="1"/>
      <w:numFmt w:val="decimal"/>
      <w:pStyle w:val="Heading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Heading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Heading9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539315709" w:numId="1">
    <w:abstractNumId w:val="6"/>
  </w:num>
  <w:num w16cid:durableId="1375154319" w:numId="2">
    <w:abstractNumId w:val="4"/>
  </w:num>
  <w:num w16cid:durableId="489449184" w:numId="3">
    <w:abstractNumId w:val="5"/>
  </w:num>
  <w:num w16cid:durableId="1156385274" w:numId="4">
    <w:abstractNumId w:val="2"/>
  </w:num>
  <w:num w16cid:durableId="572469597" w:numId="5">
    <w:abstractNumId w:val="2"/>
  </w:num>
  <w:num w16cid:durableId="756444102" w:numId="6">
    <w:abstractNumId w:val="2"/>
  </w:num>
  <w:num w16cid:durableId="1923025214"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028529006"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88363235"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83435433" w:numId="10">
    <w:abstractNumId w:val="2"/>
  </w:num>
  <w:num w16cid:durableId="2116052104" w:numId="11">
    <w:abstractNumId w:val="2"/>
  </w:num>
  <w:num w16cid:durableId="1602687159" w:numId="12">
    <w:abstractNumId w:val="2"/>
  </w:num>
  <w:num w16cid:durableId="1070734014" w:numId="13">
    <w:abstractNumId w:val="1"/>
  </w:num>
  <w:num w16cid:durableId="228266839" w:numId="14">
    <w:abstractNumId w:val="0"/>
  </w:num>
  <w:num w16cid:durableId="696546166" w:numId="15">
    <w:abstractNumId w:val="1"/>
  </w:num>
  <w:num w16cid:durableId="428308918" w:numId="16">
    <w:abstractNumId w:val="0"/>
  </w:num>
  <w:num w16cid:durableId="1549218580" w:numId="17">
    <w:abstractNumId w:val="1"/>
  </w:num>
  <w:num w16cid:durableId="957029806" w:numId="18">
    <w:abstractNumId w:val="0"/>
  </w:num>
  <w:num w16cid:durableId="1153714188" w:numId="19">
    <w:abstractNumId w:val="1"/>
  </w:num>
  <w:num w16cid:durableId="1660497348" w:numId="20">
    <w:abstractNumId w:val="0"/>
  </w:num>
  <w:num w16cid:durableId="1038090571" w:numId="21">
    <w:abstractNumId w:val="0"/>
  </w:num>
  <w:num w16cid:durableId="1110514640" w:numId="22">
    <w:abstractNumId w:val="1"/>
  </w:num>
  <w:num w16cid:durableId="1963146476" w:numId="23">
    <w:abstractNumId w:val="1"/>
  </w:num>
  <w:num w16cid:durableId="1247304171" w:numId="24">
    <w:abstractNumId w:val="0"/>
  </w:num>
  <w:num w16cid:durableId="380323016" w:numId="25">
    <w:abstractNumId w:val="1"/>
  </w:num>
  <w:num w16cid:durableId="1047413202" w:numId="26">
    <w:abstractNumId w:val="0"/>
  </w:num>
  <w:num w16cid:durableId="1695376311" w:numId="27">
    <w:abstractNumId w:val="1"/>
  </w:num>
  <w:num w16cid:durableId="802845151" w:numId="28">
    <w:abstractNumId w:val="0"/>
  </w:num>
  <w:num w16cid:durableId="1086729671" w:numId="29">
    <w:abstractNumId w:val="1"/>
  </w:num>
  <w:num w16cid:durableId="1587892" w:numId="30">
    <w:abstractNumId w:val="0"/>
  </w:num>
  <w:num w16cid:durableId="2027168970" w:numId="31">
    <w:abstractNumId w:val="1"/>
  </w:num>
  <w:num w16cid:durableId="1054691933" w:numId="32">
    <w:abstractNumId w:val="0"/>
  </w:num>
  <w:num w16cid:durableId="408695641" w:numId="33">
    <w:abstractNumId w:val="1"/>
  </w:num>
  <w:num w16cid:durableId="56561924" w:numId="34">
    <w:abstractNumId w:val="0"/>
  </w:num>
  <w:num w16cid:durableId="8534321" w:numId="35">
    <w:abstractNumId w:val="1"/>
  </w:num>
  <w:num w16cid:durableId="248270521" w:numId="36">
    <w:abstractNumId w:val="0"/>
  </w:num>
  <w:num w16cid:durableId="478498555" w:numId="37">
    <w:abstractNumId w:val="1"/>
  </w:num>
  <w:num w16cid:durableId="252711189" w:numId="38">
    <w:abstractNumId w:val="0"/>
  </w:num>
  <w:num w16cid:durableId="1265335821" w:numId="39">
    <w:abstractNumId w:val="1"/>
  </w:num>
  <w:num w16cid:durableId="817451783" w:numId="40">
    <w:abstractNumId w:val="0"/>
  </w:num>
  <w:num w16cid:durableId="1552033922" w:numId="41">
    <w:abstractNumId w:val="1"/>
  </w:num>
  <w:num w16cid:durableId="1809711346" w:numId="42">
    <w:abstractNumId w:val="0"/>
  </w:num>
  <w:num w16cid:durableId="760223085" w:numId="43">
    <w:abstractNumId w:val="1"/>
  </w:num>
  <w:num w16cid:durableId="2002081114" w:numId="44">
    <w:abstractNumId w:val="0"/>
  </w:num>
  <w:num w16cid:durableId="618994491" w:numId="45">
    <w:abstractNumId w:val="1"/>
  </w:num>
  <w:num w16cid:durableId="719863330" w:numId="46">
    <w:abstractNumId w:val="0"/>
  </w:num>
  <w:num w16cid:durableId="1086225397" w:numId="47">
    <w:abstractNumId w:val="1"/>
  </w:num>
  <w:num w16cid:durableId="823621592" w:numId="48">
    <w:abstractNumId w:val="0"/>
  </w:num>
  <w:num w16cid:durableId="1356351259" w:numId="49">
    <w:abstractNumId w:val="1"/>
  </w:num>
  <w:num w16cid:durableId="1784035892" w:numId="50">
    <w:abstractNumId w:val="0"/>
  </w:num>
  <w:num w16cid:durableId="1742289588" w:numId="51">
    <w:abstractNumId w:val="1"/>
  </w:num>
  <w:num w16cid:durableId="546990840" w:numId="52">
    <w:abstractNumId w:val="0"/>
  </w:num>
  <w:num w16cid:durableId="368652822" w:numId="53">
    <w:abstractNumId w:val="1"/>
  </w:num>
  <w:num w16cid:durableId="805389012" w:numId="54">
    <w:abstractNumId w:val="0"/>
  </w:num>
  <w:num w16cid:durableId="613828312" w:numId="55">
    <w:abstractNumId w:val="1"/>
  </w:num>
  <w:num w16cid:durableId="1018194153" w:numId="56">
    <w:abstractNumId w:val="0"/>
  </w:num>
  <w:num w16cid:durableId="1444375777" w:numId="57">
    <w:abstractNumId w:val="1"/>
  </w:num>
  <w:num w16cid:durableId="821653934" w:numId="58">
    <w:abstractNumId w:val="0"/>
  </w:num>
  <w:num w16cid:durableId="1058435530" w:numId="59">
    <w:abstractNumId w:val="1"/>
  </w:num>
  <w:num w16cid:durableId="1982728286" w:numId="60">
    <w:abstractNumId w:val="0"/>
  </w:num>
  <w:num w16cid:durableId="1242711510" w:numId="61">
    <w:abstractNumId w:val="1"/>
  </w:num>
  <w:num w16cid:durableId="303698820" w:numId="62">
    <w:abstractNumId w:val="0"/>
  </w:num>
  <w:num w16cid:durableId="495727562" w:numId="63">
    <w:abstractNumId w:val="1"/>
  </w:num>
  <w:num w16cid:durableId="1952785578" w:numId="64">
    <w:abstractNumId w:val="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20"/>
  <w:defaultTabStop w:val="720"/>
  <w:hyphenationZone w:val="425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qFormat="1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62209"/>
    <w:rPr>
      <w:rFonts w:ascii="Calibri" w:hAnsi="Calibri"/>
      <w:lang w:val="en-GB"/>
    </w:rPr>
  </w:style>
  <w:style w:styleId="Heading1" w:type="paragraph">
    <w:name w:val="heading 1"/>
    <w:basedOn w:val="Normal"/>
    <w:next w:val="BodyText"/>
    <w:uiPriority w:val="9"/>
    <w:qFormat/>
    <w:rsid w:val="00CB7B42"/>
    <w:pPr>
      <w:keepNext/>
      <w:keepLines/>
      <w:spacing w:after="12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D81823"/>
    <w:pPr>
      <w:keepNext/>
      <w:keepLines/>
      <w:spacing w:after="240" w:before="36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FE0F1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9B1367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color w:themeColor="text1" w:val="000000"/>
      <w:sz w:val="22"/>
    </w:rPr>
  </w:style>
  <w:style w:styleId="Heading5" w:type="paragraph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1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1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1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1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1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E55390"/>
    <w:pPr>
      <w:spacing w:after="180" w:before="180"/>
      <w:jc w:val="both"/>
    </w:pPr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492E40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D31628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smallCap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rsid w:val="009137D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DF7330"/>
    <w:pPr>
      <w:keepNext/>
      <w:keepLines/>
      <w:jc w:val="center"/>
    </w:pPr>
    <w:rPr>
      <w:rFonts w:ascii="Calibri" w:hAnsi="Calibri"/>
    </w:rPr>
  </w:style>
  <w:style w:styleId="Date" w:type="paragraph">
    <w:name w:val="Date"/>
    <w:next w:val="BodyText"/>
    <w:qFormat/>
    <w:rsid w:val="00DF7330"/>
    <w:pPr>
      <w:keepNext/>
      <w:keepLines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B14228"/>
    <w:rPr>
      <w:sz w:val="22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D47B4B"/>
    <w:pPr>
      <w:spacing w:after="120"/>
    </w:pPr>
  </w:style>
  <w:style w:customStyle="1" w:styleId="TableCaption" w:type="paragraph">
    <w:name w:val="Table Caption"/>
    <w:basedOn w:val="Caption"/>
    <w:rsid w:val="00A80C79"/>
    <w:rPr>
      <w:sz w:val="18"/>
    </w:rPr>
  </w:style>
  <w:style w:customStyle="1" w:styleId="ImageCaption" w:type="paragraph">
    <w:name w:val="Image Caption"/>
    <w:basedOn w:val="Caption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CaptionChar" w:type="character">
    <w:name w:val="Caption Char"/>
    <w:basedOn w:val="DefaultParagraphFont"/>
    <w:link w:val="Caption"/>
    <w:rsid w:val="00D47B4B"/>
    <w:rPr>
      <w:rFonts w:ascii="Calibri" w:hAnsi="Calibri"/>
    </w:rPr>
  </w:style>
  <w:style w:customStyle="1" w:styleId="VerbatimChar" w:type="characte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FootnoteReference" w:type="character">
    <w:name w:val="footnote reference"/>
    <w:basedOn w:val="CaptionChar"/>
    <w:rPr>
      <w:rFonts w:ascii="Calibri" w:hAnsi="Calibri"/>
      <w:vertAlign w:val="superscript"/>
    </w:rPr>
  </w:style>
  <w:style w:styleId="Hyperlink" w:type="character">
    <w:name w:val="Hyperlink"/>
    <w:basedOn w:val="CaptionChar"/>
    <w:uiPriority w:val="99"/>
    <w:rsid w:val="00DF7330"/>
    <w:rPr>
      <w:rFonts w:ascii="Calibri" w:hAnsi="Calibri"/>
      <w:color w:themeColor="text2" w:themeTint="99" w:val="548DD4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rsid w:val="009137D8"/>
    <w:pPr>
      <w:spacing w:before="240" w:line="259" w:lineRule="auto"/>
      <w:jc w:val="center"/>
      <w:outlineLvl w:val="9"/>
    </w:pPr>
    <w:rPr>
      <w:b w:val="0"/>
      <w:bCs w:val="0"/>
    </w:rPr>
  </w:style>
  <w:style w:customStyle="1" w:styleId="BodyTextChar" w:type="character">
    <w:name w:val="Body Text Char"/>
    <w:basedOn w:val="DefaultParagraphFont"/>
    <w:link w:val="BodyText"/>
    <w:rsid w:val="00E55390"/>
    <w:rPr>
      <w:rFonts w:ascii="Calibri" w:hAnsi="Calibri"/>
      <w:sz w:val="22"/>
    </w:rPr>
  </w:style>
  <w:style w:styleId="ListParagraph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NoList"/>
    <w:uiPriority w:val="99"/>
    <w:rsid w:val="005E0C3D"/>
    <w:pPr>
      <w:numPr>
        <w:numId w:val="2"/>
      </w:numPr>
    </w:pPr>
  </w:style>
  <w:style w:customStyle="1" w:styleId="Defaultol" w:type="numbering">
    <w:name w:val="Default ol"/>
    <w:basedOn w:val="NoList"/>
    <w:uiPriority w:val="99"/>
    <w:rsid w:val="005E0C3D"/>
    <w:pPr>
      <w:numPr>
        <w:numId w:val="3"/>
      </w:numPr>
    </w:pPr>
  </w:style>
  <w:style w:styleId="Footer" w:type="paragraph">
    <w:name w:val="footer"/>
    <w:basedOn w:val="Normal"/>
    <w:link w:val="FooterChar"/>
    <w:uiPriority w:val="99"/>
    <w:unhideWhenUsed/>
    <w:qFormat/>
    <w:rsid w:val="00DF7330"/>
    <w:pPr>
      <w:tabs>
        <w:tab w:pos="4536" w:val="center"/>
        <w:tab w:pos="9072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DF7330"/>
    <w:rPr>
      <w:rFonts w:ascii="Calibri" w:hAnsi="Calibri"/>
    </w:rPr>
  </w:style>
  <w:style w:styleId="PageNumber" w:type="character">
    <w:name w:val="page number"/>
    <w:basedOn w:val="DefaultParagraphFont"/>
    <w:semiHidden/>
    <w:unhideWhenUsed/>
    <w:rsid w:val="00676DF8"/>
  </w:style>
  <w:style w:styleId="Header" w:type="paragraph">
    <w:name w:val="header"/>
    <w:basedOn w:val="Normal"/>
    <w:link w:val="HeaderChar"/>
    <w:uiPriority w:val="99"/>
    <w:unhideWhenUsed/>
    <w:rsid w:val="00DF7330"/>
    <w:pPr>
      <w:tabs>
        <w:tab w:pos="4536" w:val="center"/>
        <w:tab w:pos="9072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F7330"/>
    <w:rPr>
      <w:rFonts w:ascii="Calibri" w:hAnsi="Calibri"/>
    </w:rPr>
  </w:style>
  <w:style w:customStyle="1" w:styleId="Captionlabel" w:type="paragraph">
    <w:name w:val="Caption label"/>
    <w:qFormat/>
    <w:rsid w:val="006A5DF9"/>
    <w:pPr>
      <w:jc w:val="both"/>
    </w:pPr>
    <w:rPr>
      <w:rFonts w:ascii="Calibri" w:hAnsi="Calibri"/>
      <w:sz w:val="18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u w:val="none"/>
      <w:bdr w:color="auto" w:space="0" w:sz="0" w:val="none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u w:val="none"/>
      <w:bdr w:color="auto" w:space="0" w:sz="0" w:val="none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u w:val="none"/>
      <w:bdr w:color="auto" w:space="0" w:sz="0" w:val="none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u w:val="none"/>
      <w:bdr w:color="auto" w:space="0" w:sz="0" w:val="none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u w:val="none"/>
      <w:bdr w:color="auto" w:space="0" w:sz="0" w:val="none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u w:val="none"/>
      <w:bdr w:color="auto" w:space="0" w:sz="0" w:val="none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styleId="TOC2" w:type="paragraph">
    <w:name w:val="toc 2"/>
    <w:basedOn w:val="Normal"/>
    <w:next w:val="Normal"/>
    <w:autoRedefine/>
    <w:uiPriority w:val="39"/>
    <w:unhideWhenUsed/>
    <w:rsid w:val="00C63E75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C63E75"/>
    <w:pPr>
      <w:spacing w:after="100"/>
      <w:ind w:left="480"/>
    </w:pPr>
  </w:style>
  <w:style w:styleId="TOC1" w:type="paragraph">
    <w:name w:val="toc 1"/>
    <w:basedOn w:val="Normal"/>
    <w:next w:val="Normal"/>
    <w:autoRedefine/>
    <w:uiPriority w:val="39"/>
    <w:unhideWhenUsed/>
    <w:rsid w:val="00C63E75"/>
    <w:pPr>
      <w:spacing w:after="100"/>
    </w:pPr>
  </w:style>
  <w:style w:styleId="TableofFigures" w:type="paragraph">
    <w:name w:val="table of figures"/>
    <w:basedOn w:val="Normal"/>
    <w:next w:val="Normal"/>
    <w:uiPriority w:val="99"/>
    <w:unhideWhenUsed/>
    <w:rsid w:val="00DF7330"/>
    <w:pPr>
      <w:spacing w:after="0"/>
    </w:pPr>
  </w:style>
  <w:style w:customStyle="1" w:styleId="Documentreference" w:type="paragraph">
    <w:name w:val="Document reference"/>
    <w:basedOn w:val="Normal"/>
    <w:link w:val="DocumentreferenceChar"/>
    <w:uiPriority w:val="1"/>
    <w:qFormat/>
    <w:rsid w:val="003C63CB"/>
    <w:pPr>
      <w:pBdr>
        <w:bottom w:color="auto" w:space="1" w:sz="4" w:val="single"/>
      </w:pBdr>
      <w:spacing w:after="160" w:line="259" w:lineRule="auto"/>
      <w:jc w:val="right"/>
    </w:pPr>
    <w:rPr>
      <w:noProof/>
      <w:sz w:val="28"/>
      <w:szCs w:val="28"/>
      <w:lang w:eastAsia="en-GB"/>
    </w:rPr>
  </w:style>
  <w:style w:customStyle="1" w:styleId="DocumentreferenceChar" w:type="character">
    <w:name w:val="Document reference Char"/>
    <w:basedOn w:val="DefaultParagraphFont"/>
    <w:link w:val="Documentreference"/>
    <w:uiPriority w:val="1"/>
    <w:rsid w:val="003C63CB"/>
    <w:rPr>
      <w:rFonts w:ascii="Calibri" w:hAnsi="Calibri"/>
      <w:noProof/>
      <w:sz w:val="28"/>
      <w:szCs w:val="28"/>
      <w:lang w:eastAsia="en-GB"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1.xml"/>
<Relationship Id="rId10" Type="http://schemas.openxmlformats.org/officeDocument/2006/relationships/footer" Target="footer3.xml"/>
<Relationship Id="rId11" Type="http://schemas.openxmlformats.org/officeDocument/2006/relationships/footer" Target="footer2.xml"/>
<Relationship Id="rId12" Type="http://schemas.openxmlformats.org/officeDocument/2006/relationships/footer" Target="footer4.xml"/>
<Relationship Id="rId20" Type="http://schemas.openxmlformats.org/officeDocument/2006/relationships/hyperlink" Target="mailto:IOTC-Secretariat@fao.org" TargetMode="External"/>
<Relationship Id="rId21" Type="http://schemas.openxmlformats.org/officeDocument/2006/relationships/header" Target="header1.xml"/>
<Relationship Id="rId22" Type="http://schemas.openxmlformats.org/officeDocument/2006/relationships/header" Target="header2.xml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IOTC-Secretariat@fao.org" TargetMode="External"/>
</Relationships>

</file>

<file path=word/_rels/header2.xml.rels><?xml version="1.0" encoding="UTF-8" standalone="yes"?>

<Relationships  xmlns="http://schemas.openxmlformats.org/package/2006/relationships">
<Relationship Id="rId1" Type="http://schemas.openxmlformats.org/officeDocument/2006/relationships/image" Target="media/c1087f3f26286f147e265a5193b9b49d774d231a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12</Pages>
  <Words>1668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Simulation scenarios</dc:title>
  <dc:creator>Author: IOTC Secretariat</dc:creator>
  <cp:keywords/>
  <dcterms:created xsi:type="dcterms:W3CDTF">2024-04-08T06:46:10Z</dcterms:created>
  <dcterms:modified xsi:type="dcterms:W3CDTF">2024-04-08T10:46:11Z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g_caption">
    <vt:lpwstr>True</vt:lpwstr>
  </property>
  <property fmtid="{D5CDD505-2E9C-101B-9397-08002B2CF9AE}" pid="3" name="output">
    <vt:lpwstr/>
  </property>
  <property fmtid="{D5CDD505-2E9C-101B-9397-08002B2CF9AE}" pid="4" name="reference_num">
    <vt:lpwstr>True</vt:lpwstr>
  </property>
</Properties>
</file>