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4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TCAC</w:t>
      </w:r>
      <w:r>
        <w:t xml:space="preserve"> </w:t>
      </w:r>
      <w:r>
        <w:t xml:space="preserve">simulation</w:t>
      </w:r>
      <w:r>
        <w:t xml:space="preserve"> </w:t>
      </w:r>
      <w:r>
        <w:t xml:space="preserve">scenario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Author:</w:t>
      </w:r>
      <w:r>
        <w:t xml:space="preserve"> </w:t>
      </w:r>
      <w:hyperlink r:id="rId20">
        <w:r>
          <w:rPr>
            <w:rStyle w:val="Hyperlink"/>
          </w:rPr>
          <w:t xml:space="preserve">IOTC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Secretariat</w:t>
        </w:r>
      </w:hyperlink>
    </w:p>
    <w:p>
      <w:pPr>
        <w:sectPr w:officer="true">
          <w:headerReference w:type="default" r:id="rId21"/>
          <w:headerReference w:type="first" r:id="rId22"/>
          <w:cols/>
          <w:titlePg/>
          <w:pgSz w:code="1" w:h="15840" w:w="12240"/>
          <w:pgMar w:bottom="709" w:footer="567" w:gutter="0" w:header="284" w:left="709" w:right="1418" w:top="851"/>
        </w:sectPr>
      </w:pPr>
    </w:p>
    <w:bookmarkStart w:id="21" w:name="general-scenario-configuration"/>
    <w:p>
      <w:pPr>
        <w:pStyle w:val="Heading1"/>
      </w:pPr>
      <w:r>
        <w:t xml:space="preserve">General scenario configuration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6964"/>
        <w:gridCol w:w="955"/>
      </w:tblGrid>
      <w:tr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Yellowfin tuna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allowable catch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500,000 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Main allocation components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1 - Baseline weight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2 - Coastal state weight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3 - Catch-based weight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Coastal State components (item 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2.1 - Equal share weight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2.2 - Socio-economic weight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2.3 - National jurisdiction area surface weight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Socio-economic weight components (item 2.2)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2.2.1 - Human Development Index status weight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2.2.2 - Gross national income status weight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2.2.3 - Small Islands Development status weight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Catch-based configuration parameters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2000-2016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Selected period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 of foreign catch taken in NJA re-attributed to coastal states (Year 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 of foreign catch taken in NJA re-attributed to coastal states (Year 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 of foreign catch taken in NJA re-attributed to coastal states (Year 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 of foreign catch taken in NJA re-attributed to coastal states (Year 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 of foreign catch taken in NJA re-attributed to coastal states (Year 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 of foreign catch taken in NJA re-attributed to coastal states (Year 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 of foreign catch taken in NJA re-attributed to coastal states (Year 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 of foreign catch taken in NJA re-attributed to coastal states (Year 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 of foreign catch taken in NJA re-attributed to coastal states (Year 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 of foreign catch taken in NJA re-attributed to coastal states (Year 10)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100%</w:t>
            </w:r>
          </w:p>
        </w:tc>
      </w:tr>
    </w:tbl>
    <w:p>
      <w:r>
        <w:br w:type="page"/>
      </w:r>
    </w:p>
    <w:bookmarkEnd w:id="21"/>
    <w:bookmarkStart w:id="22" w:name="X45919557b016c5e7af9cd4a729d3e40b2ccf91f"/>
    <w:p>
      <w:pPr>
        <w:pStyle w:val="Heading1"/>
      </w:pPr>
      <w:r>
        <w:t xml:space="preserve">Baseline allocation for Contracting Parties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57"/>
        <w:gridCol w:w="3168"/>
        <w:gridCol w:w="792"/>
        <w:gridCol w:w="1697"/>
        <w:gridCol w:w="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Entity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Entity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Allocation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TAC (t)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Australia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1,724.1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BGD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Bangladesh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1,724.1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1,724.1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Comoros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1,724.1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European Union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1,724.1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 (OT)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1,724.1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Kingdom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1,724.1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Indonesia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1,724.1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1,724.1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Iran (Islamic Republic of)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1,724.1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JPN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1,724.1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Kenya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1,724.1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Republic of Korea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1,724.1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Sri Lanka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1,724.1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MDG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Madagascar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1,724.1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MDV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Maldives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1,724.1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Mozambique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1,724.1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Mauritius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1,724.1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Malaysia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1,724.1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OMN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1,724.1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Pakistan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1,724.1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Philippines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1,724.1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Sudan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1,724.1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1,724.1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Seychelles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1,724.1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Thailand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1,724.1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Republic of 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1,724.1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1,724.1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 Africa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1,724.1</w:t>
            </w:r>
          </w:p>
        </w:tc>
      </w:tr>
    </w:tbl>
    <w:p>
      <w:r>
        <w:br w:type="page"/>
      </w:r>
    </w:p>
    <w:bookmarkEnd w:id="22"/>
    <w:bookmarkStart w:id="29" w:name="coastal-state-allocation"/>
    <w:p>
      <w:pPr>
        <w:pStyle w:val="Heading1"/>
      </w:pPr>
      <w:r>
        <w:t xml:space="preserve">Coastal state allocation</w:t>
      </w:r>
    </w:p>
    <w:bookmarkStart w:id="23" w:name="equal-allocation"/>
    <w:p>
      <w:pPr>
        <w:pStyle w:val="Heading2"/>
      </w:pPr>
      <w:r>
        <w:t xml:space="preserve">Equal allocation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57"/>
        <w:gridCol w:w="3168"/>
        <w:gridCol w:w="792"/>
        <w:gridCol w:w="1697"/>
        <w:gridCol w:w="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Entity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Entity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Allocation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TAC (t)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Australia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BGD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Bangladesh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Comoros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European Union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 (OT)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Kingdom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Indonesia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Iran (Islamic Republic of)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JPN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Kenya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Republic of Korea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Sri Lanka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MDG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Madagascar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MDV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Maldives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Mozambique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Mauritius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Malaysia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OMN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Pakistan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Philippines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Sudan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Seychelles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Thailand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Taiwan Province of 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Republic of 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 Africa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1,400</w:t>
            </w:r>
          </w:p>
        </w:tc>
      </w:tr>
    </w:tbl>
    <w:p>
      <w:r>
        <w:br w:type="page"/>
      </w:r>
    </w:p>
    <w:bookmarkEnd w:id="23"/>
    <w:bookmarkStart w:id="27" w:name="socio-economic-allocation"/>
    <w:p>
      <w:pPr>
        <w:pStyle w:val="Heading2"/>
      </w:pPr>
      <w:r>
        <w:t xml:space="preserve">Socio-economic allocation</w:t>
      </w:r>
    </w:p>
    <w:bookmarkStart w:id="24" w:name="X66f69c9020661f0c473cca6691e38b26f310e7e"/>
    <w:p>
      <w:pPr>
        <w:pStyle w:val="Heading3"/>
      </w:pPr>
      <w:r>
        <w:t xml:space="preserve">Human Development Index status allocation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84"/>
        <w:gridCol w:w="2996"/>
        <w:gridCol w:w="749"/>
        <w:gridCol w:w="428"/>
        <w:gridCol w:w="1605"/>
        <w:gridCol w:w="85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Entity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Entity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HDI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Allocation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TAC (t)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Australia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BGD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Bangladesh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Comoros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European Union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 (OT)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Kingdom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Indonesia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548.1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Iran (Islamic Republic of)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548.1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JPN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Kenya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Republic of Korea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Sri Lanka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548.1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MDG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Madagascar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1,096.2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MDV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Maldives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548.1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Mozambique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1,096.2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Mauritius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Malaysia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OMN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Pakistan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1,096.2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Philippines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Sudan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1,096.2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1,096.2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Seychelles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548.1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Thailand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Taiwan Province of 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Republic of 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1,096.2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1,096.2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 Africa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548.1</w:t>
            </w:r>
          </w:p>
        </w:tc>
      </w:tr>
    </w:tbl>
    <w:p>
      <w:r>
        <w:br w:type="page"/>
      </w:r>
    </w:p>
    <w:bookmarkEnd w:id="24"/>
    <w:bookmarkStart w:id="25" w:name="gross-national-income-status-allocation"/>
    <w:p>
      <w:pPr>
        <w:pStyle w:val="Heading3"/>
      </w:pPr>
      <w:r>
        <w:t xml:space="preserve">Gross national income status allocation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84"/>
        <w:gridCol w:w="2996"/>
        <w:gridCol w:w="749"/>
        <w:gridCol w:w="428"/>
        <w:gridCol w:w="1605"/>
        <w:gridCol w:w="85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Entity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Entity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GNI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Allocation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TAC (t)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Australia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BGD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Bangladesh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737.1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Comoros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737.1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European Union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 (OT)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Kingdom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Indonesia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491.4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737.1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Iran (Islamic Republic of)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737.1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JPN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Kenya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737.1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Republic of Korea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Sri Lanka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737.1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MDG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Madagascar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982.8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MDV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Maldives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491.4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Mozambique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982.8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Mauritius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491.4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Malaysia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491.4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OMN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Pakistan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737.1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Philippines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Sudan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982.8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982.8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Seychelles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Thailand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491.4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Taiwan Province of 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Republic of 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737.1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982.8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 Africa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491.4</w:t>
            </w:r>
          </w:p>
        </w:tc>
      </w:tr>
    </w:tbl>
    <w:p>
      <w:r>
        <w:br w:type="page"/>
      </w:r>
    </w:p>
    <w:bookmarkEnd w:id="25"/>
    <w:bookmarkStart w:id="26" w:name="X8a8ec2c604c37fc6bd52cafc046afcf8070306a"/>
    <w:p>
      <w:pPr>
        <w:pStyle w:val="Heading3"/>
      </w:pPr>
      <w:r>
        <w:t xml:space="preserve">Small Islands Development status allocation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57"/>
        <w:gridCol w:w="3168"/>
        <w:gridCol w:w="792"/>
        <w:gridCol w:w="1697"/>
        <w:gridCol w:w="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Entity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Entity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Allocation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TAC (t)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Australia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BGD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Bangladesh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Comoros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4,750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European Union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 (OT)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Kingdom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Indonesia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Iran (Islamic Republic of)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JPN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Kenya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Republic of Korea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Sri Lanka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MDG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Madagascar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MDV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Maldives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4,750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Mozambique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Mauritius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4,750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Malaysia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OMN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Pakistan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Philippines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Sudan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Seychelles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4,750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Thailand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Taiwan Province of 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Republic of 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 Africa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r>
        <w:br w:type="page"/>
      </w:r>
    </w:p>
    <w:bookmarkEnd w:id="26"/>
    <w:bookmarkEnd w:id="27"/>
    <w:bookmarkStart w:id="28" w:name="national-jurisdiction-area-allocation"/>
    <w:p>
      <w:pPr>
        <w:pStyle w:val="Heading2"/>
      </w:pPr>
      <w:r>
        <w:t xml:space="preserve">National Jurisdiction Area allocation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18"/>
        <w:gridCol w:w="2608"/>
        <w:gridCol w:w="652"/>
        <w:gridCol w:w="1397"/>
        <w:gridCol w:w="1397"/>
        <w:gridCol w:w="7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Entity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Entity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NJA size (km2)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Allocation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TAC (t)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Australia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4,320,207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2,800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BGD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Bangladesh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77,773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Comoros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164,571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European Union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378,244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 (OT)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1,294,307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Kingdom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638,580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Indonesia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1,948,313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2,283,347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Iran (Islamic Republic of)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161,846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JPN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Kenya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111,436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Republic of Korea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Sri Lanka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530,275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MDG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Madagascar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1,199,904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MDV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Maldives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916,244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Mozambique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570,059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Mauritius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1,272,857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Malaysia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62,343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OMN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535,212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Pakistan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220,792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Philippines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Sudan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66,483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829,359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Seychelles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1,332,252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Thailand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118,137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Taiwan Province of 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Republic of 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240,763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543,647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 Africa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781,573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</w:t>
            </w:r>
          </w:p>
        </w:tc>
      </w:tr>
    </w:tbl>
    <w:p>
      <w:r>
        <w:br w:type="page"/>
      </w:r>
    </w:p>
    <w:bookmarkEnd w:id="28"/>
    <w:bookmarkEnd w:id="29"/>
    <w:bookmarkStart w:id="30" w:name="Xd2e35bb2cfa63972720a3f68e96b7667bbcb307"/>
    <w:p>
      <w:pPr>
        <w:pStyle w:val="Heading1"/>
      </w:pPr>
      <w:r>
        <w:t xml:space="preserve">Catch-based allocation following the transition period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38"/>
        <w:gridCol w:w="3123"/>
        <w:gridCol w:w="780"/>
        <w:gridCol w:w="1673"/>
        <w:gridCol w:w="100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Entity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Entity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Allocation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TAC (t)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Australia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1,175.3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BGD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Bangladesh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1,109.2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Comoros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4,472.4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European Union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49,560.6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 (OT)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4,348.1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Kingdom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4,511.7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Indonesia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27,292.5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26,227.4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Iran (Islamic Republic of)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17,270.6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JPN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3,833.9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Kenya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1,397.8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Republic of Korea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1,871.0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Sri Lanka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32,018.1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MDG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Madagascar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4,514.9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MDV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Maldives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28,355.1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Mozambique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3,528.9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Mauritius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4,314.3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Malaysia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425.7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OMN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11,709.1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Pakistan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15,569.1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Philippines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544.0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Sudan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457.3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7,896.7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Seychelles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51,815.3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Thailand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664.9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Taiwan Province of 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11,177.2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Republic of 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7,705.7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25,431.2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 Africa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757.3</w:t>
            </w:r>
          </w:p>
        </w:tc>
      </w:tr>
    </w:tbl>
    <w:p>
      <w:r>
        <w:br w:type="page"/>
      </w:r>
    </w:p>
    <w:bookmarkEnd w:id="30"/>
    <w:bookmarkStart w:id="33" w:name="final-allocation-table"/>
    <w:p>
      <w:pPr>
        <w:pStyle w:val="Heading1"/>
      </w:pPr>
      <w:r>
        <w:t xml:space="preserve">Final allocation table</w:t>
      </w:r>
    </w:p>
    <w:bookmarkStart w:id="31" w:name="quota-table-after-transition-period"/>
    <w:p>
      <w:pPr>
        <w:pStyle w:val="Heading2"/>
      </w:pPr>
      <w:r>
        <w:t xml:space="preserve">Quota table after transition period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05"/>
        <w:gridCol w:w="2112"/>
        <w:gridCol w:w="528"/>
        <w:gridCol w:w="980"/>
        <w:gridCol w:w="1433"/>
        <w:gridCol w:w="1206"/>
        <w:gridCol w:w="75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Entity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Entity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Baseline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Coastal States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Catch-based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Australia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BGD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Bangladesh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Comoros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European Union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9.912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 (OT)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Kingdom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Indonesia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Iran (Islamic Republic of)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JPN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Kenya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Republic of Korea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Sri Lanka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MDG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Madagascar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MDV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Maldives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Mozambique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Mauritius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Malaysia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OMN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Pakistan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Philippines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Sudan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Seychelles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Thailand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Republic of 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 Africa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</w:t>
            </w:r>
          </w:p>
        </w:tc>
      </w:tr>
    </w:tbl>
    <w:p>
      <w:r>
        <w:br w:type="page"/>
      </w:r>
    </w:p>
    <w:bookmarkEnd w:id="31"/>
    <w:bookmarkStart w:id="32" w:name="tac-table-after-transition-period"/>
    <w:p>
      <w:pPr>
        <w:pStyle w:val="Heading2"/>
      </w:pPr>
      <w:r>
        <w:t xml:space="preserve">TAC table after transition period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05"/>
        <w:gridCol w:w="2112"/>
        <w:gridCol w:w="528"/>
        <w:gridCol w:w="980"/>
        <w:gridCol w:w="1433"/>
        <w:gridCol w:w="1206"/>
        <w:gridCol w:w="75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Entity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Entity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Baseline (t)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Coastal States (t)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Catch-based (t)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(t)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Australia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1175.3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BGD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Bangladesh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3309.2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5078.2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1109.2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Comoros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8059.2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4472.4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14255.7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European Union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49560.6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53034.7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 (OT)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8872.2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Kingdom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4511.7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8335.9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Indonesia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3839.5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27292.5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32856.1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4359.2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26227.4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Iran (Islamic Republic of)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3035.1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17270.6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22029.9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JPN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3833.9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Kenya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3309.2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1397.8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6431.1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Republic of Korea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3595.1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Sri Lanka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3035.1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32018.1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36777.4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MDG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Madagascar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4178.9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10417.9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MDV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Maldives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7889.5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28355.1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37968.6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Mozambique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3828.9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3528.9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9081.9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Mauritius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7691.4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4314.3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13729.8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Malaysia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4391.3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OMN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11709.1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15429.0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Pakistan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15569.1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20876.5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Philippines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2268.1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Sudan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3828.9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6010.4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4178.9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7896.7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13799.8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Seychelles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7993.8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51815.3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61533.2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Thailand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Republic of 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7705.7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13013.0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3828.9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25431.2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30984.3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 Africa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3139.5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757.3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5620.8</w:t>
            </w:r>
          </w:p>
        </w:tc>
      </w:tr>
    </w:tbl>
    <w:bookmarkEnd w:id="32"/>
    <w:bookmarkEnd w:id="33"/>
    <w:sectPr w:rsidR="00947F64" w:rsidSect="000D0AD2">
      <w:footerReference r:id="rId9" w:type="default"/>
      <w:footerReference r:id="rId11" w:type="first"/>
      <w:type w:val="continuous"/>
      <w:pgSz w:code="1" w:h="15840" w:w="12240"/>
      <w:pgMar w:bottom="709" w:footer="567" w:gutter="0" w:header="284" w:left="709" w:right="1418" w:top="851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7163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5048F" w14:textId="2EF40A57" w:rsidR="00801142" w:rsidRDefault="00AF497C" w:rsidP="00DF7330">
        <w:pPr>
          <w:pStyle w:val="Footer"/>
          <w:jc w:val="center"/>
          <w:rPr>
            <w:noProof/>
          </w:rPr>
        </w:pPr>
        <w:r>
          <w:t xml:space="preserve">Page </w:t>
        </w:r>
        <w:r w:rsidRPr="007A2B9A">
          <w:fldChar w:fldCharType="begin"/>
        </w:r>
        <w:r w:rsidRPr="007A2B9A">
          <w:instrText xml:space="preserve"> PAGE   \* MERGEFORMAT </w:instrText>
        </w:r>
        <w:r w:rsidRPr="007A2B9A">
          <w:fldChar w:fldCharType="separate"/>
        </w:r>
        <w:r>
          <w:t>1</w:t>
        </w:r>
        <w:r w:rsidRPr="007A2B9A">
          <w:rPr>
            <w:noProof/>
          </w:rPr>
          <w:fldChar w:fldCharType="end"/>
        </w:r>
        <w:r w:rsidRPr="007A2B9A">
          <w:rPr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noProof/>
          </w:rPr>
          <w:fldChar w:fldCharType="begin"/>
        </w:r>
        <w:r w:rsidRPr="007A2B9A">
          <w:rPr>
            <w:noProof/>
          </w:rPr>
          <w:instrText xml:space="preserve"> NUMPAGES   \* MERGEFORMAT </w:instrText>
        </w:r>
        <w:r w:rsidRPr="007A2B9A">
          <w:rPr>
            <w:noProof/>
          </w:rPr>
          <w:fldChar w:fldCharType="separate"/>
        </w:r>
        <w:r>
          <w:rPr>
            <w:noProof/>
          </w:rPr>
          <w:t>3</w:t>
        </w:r>
        <w:r w:rsidRPr="007A2B9A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463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57832A" w14:textId="77777777" w:rsidR="008B37F9" w:rsidRDefault="008B37F9" w:rsidP="008B37F9">
        <w:pPr>
          <w:pStyle w:val="Footer"/>
          <w:pBdr>
            <w:top w:val="single" w:sz="4" w:space="1" w:color="auto"/>
          </w:pBdr>
          <w:spacing w:before="240"/>
          <w:jc w:val="center"/>
          <w:rPr>
            <w:noProof/>
          </w:rPr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>
          <w:rPr>
            <w:b/>
            <w:bCs/>
            <w:noProof/>
          </w:rPr>
          <w:t>3</w:t>
        </w:r>
        <w:r w:rsidRPr="007A2B9A">
          <w:rPr>
            <w:b/>
            <w:bCs/>
            <w:noProof/>
          </w:rPr>
          <w:fldChar w:fldCharType="end"/>
        </w:r>
      </w:p>
    </w:sdtContent>
  </w:sdt>
  <w:p w14:paraId="5ACA5596" w14:textId="77777777" w:rsidR="00A140DB" w:rsidRDefault="00A140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3D1EC268" w14:textId="77777777" w:rsidR="00566AB8" w:rsidRDefault="00000000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3E75">
          <w:rPr>
            <w:rStyle w:val="PageNumber"/>
            <w:noProof/>
          </w:rPr>
          <w:t>12</w:t>
        </w:r>
        <w:r>
          <w:rPr>
            <w:rStyle w:val="PageNumber"/>
          </w:rPr>
          <w:fldChar w:fldCharType="end"/>
        </w:r>
      </w:p>
    </w:sdtContent>
  </w:sdt>
  <w:p w14:paraId="6014DB3B" w14:textId="77777777" w:rsidR="00566AB8" w:rsidRDefault="00566AB8" w:rsidP="00676DF8">
    <w:pPr>
      <w:pStyle w:val="Footer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6A8BF2B4" w14:textId="77777777" w:rsidR="00566AB8" w:rsidRDefault="00000000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5EADCC7" w14:textId="77777777" w:rsidR="00566AB8" w:rsidRDefault="00566AB8" w:rsidP="00676DF8">
    <w:pPr>
      <w:pStyle w:val="Footer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Normal"/>
      <w:jc w:val="right"/>
      <w:pBdr>
        <w:bottom w:val="single" w:sz="8" w:space="0" w:color="000000"/>
        <w:top w:val="none" w:sz="0" w:space="0" w:color="000000"/>
        <w:left w:val="none" w:sz="0" w:space="0" w:color="000000"/>
        <w:right w:val="none" w:sz="0" w:space="0" w:color="000000"/>
      </w:pBdr>
      <w:spacing w:after="0" w:before="0" w:line="240"/>
      <w:ind w:left="0" w:right="0" w:firstLine="0" w:firstLineChars="0"/>
    </w:pPr>
    <w:r>
      <w:rPr>
        <w:rFonts/>
        <w:b w:val="false"/>
        <w:sz w:val="24"/>
        <w:szCs w:val="24"/>
        <w:color w:val="000000"/>
      </w:rPr>
      <w:t xml:space="preserve">IOTC-2024-TCAC-13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Normal"/>
      <w:jc w:val="right"/>
      <w:pBdr>
        <w:bottom w:val="single" w:sz="8" w:space="0" w:color="000000"/>
        <w:top w:val="none" w:sz="0" w:space="0" w:color="000000"/>
        <w:left w:val="none" w:sz="0" w:space="0" w:color="000000"/>
        <w:right w:val="none" w:sz="0" w:space="0" w:color="000000"/>
      </w:pBdr>
      <w:spacing w:after="0" w:before="0" w:line="240"/>
      <w:ind w:left="0" w:right="0" w:firstLine="0" w:firstLineChars="0"/>
    </w:pPr>
    <w:r>
      <w:rPr/>
      <w:drawing>
        <wp:inline distT="0" distB="0" distL="0" distR="0">
          <wp:extent cx="6574536" cy="649224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>
                    <a:picLocks noChangeAspect="1" noChangeArrowheads="1"/>
                  </pic:cNvPicPr>
                </pic:nvPicPr>
                <pic:blipFill>
                  <a:blip cstate="print"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313" cy="901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/>
        <w:b w:val="false"/>
        <w:sz w:val="24"/>
        <w:szCs w:val="24"/>
        <w:color w:val="000000"/>
      </w:rPr>
      <w:t xml:space="preserve">IOTC-2024-TCAC-13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AB9E57F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0F0483B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2">
    <w:nsid w:val="0000A991"/>
    <w:multiLevelType w:val="multilevel"/>
    <w:tmpl w:val="CCA8EC7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3">
    <w:nsid w:val="00A99411"/>
    <w:multiLevelType w:val="multilevel"/>
    <w:tmpl w:val="680E6E36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4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5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6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pStyle w:val="Heading5"/>
      <w:lvlText w:val="%1.%2.%3.%4.%5."/>
      <w:lvlJc w:val="left"/>
      <w:pPr>
        <w:ind w:hanging="792" w:left="2232"/>
      </w:pPr>
    </w:lvl>
    <w:lvl w:ilvl="5">
      <w:start w:val="1"/>
      <w:numFmt w:val="decimal"/>
      <w:pStyle w:val="Heading6"/>
      <w:lvlText w:val="%1.%2.%3.%4.%5.%6."/>
      <w:lvlJc w:val="left"/>
      <w:pPr>
        <w:ind w:hanging="936" w:left="2736"/>
      </w:pPr>
    </w:lvl>
    <w:lvl w:ilvl="6">
      <w:start w:val="1"/>
      <w:numFmt w:val="decimal"/>
      <w:pStyle w:val="Heading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Heading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Heading9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539315709" w:numId="1">
    <w:abstractNumId w:val="6"/>
  </w:num>
  <w:num w16cid:durableId="1375154319" w:numId="2">
    <w:abstractNumId w:val="4"/>
  </w:num>
  <w:num w16cid:durableId="489449184" w:numId="3">
    <w:abstractNumId w:val="5"/>
  </w:num>
  <w:num w16cid:durableId="1156385274" w:numId="4">
    <w:abstractNumId w:val="2"/>
  </w:num>
  <w:num w16cid:durableId="572469597" w:numId="5">
    <w:abstractNumId w:val="2"/>
  </w:num>
  <w:num w16cid:durableId="756444102" w:numId="6">
    <w:abstractNumId w:val="2"/>
  </w:num>
  <w:num w16cid:durableId="1923025214"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028529006"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88363235"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83435433" w:numId="10">
    <w:abstractNumId w:val="2"/>
  </w:num>
  <w:num w16cid:durableId="2116052104" w:numId="11">
    <w:abstractNumId w:val="2"/>
  </w:num>
  <w:num w16cid:durableId="1602687159" w:numId="12">
    <w:abstractNumId w:val="2"/>
  </w:num>
  <w:num w16cid:durableId="1070734014" w:numId="13">
    <w:abstractNumId w:val="1"/>
  </w:num>
  <w:num w16cid:durableId="228266839" w:numId="14">
    <w:abstractNumId w:val="0"/>
  </w:num>
  <w:num w16cid:durableId="696546166" w:numId="15">
    <w:abstractNumId w:val="1"/>
  </w:num>
  <w:num w16cid:durableId="428308918" w:numId="16">
    <w:abstractNumId w:val="0"/>
  </w:num>
  <w:num w16cid:durableId="1549218580" w:numId="17">
    <w:abstractNumId w:val="1"/>
  </w:num>
  <w:num w16cid:durableId="957029806" w:numId="18">
    <w:abstractNumId w:val="0"/>
  </w:num>
  <w:num w16cid:durableId="1153714188" w:numId="19">
    <w:abstractNumId w:val="1"/>
  </w:num>
  <w:num w16cid:durableId="1660497348" w:numId="20">
    <w:abstractNumId w:val="0"/>
  </w:num>
  <w:num w16cid:durableId="1038090571" w:numId="21">
    <w:abstractNumId w:val="0"/>
  </w:num>
  <w:num w16cid:durableId="1110514640" w:numId="22">
    <w:abstractNumId w:val="1"/>
  </w:num>
  <w:num w16cid:durableId="1963146476" w:numId="23">
    <w:abstractNumId w:val="1"/>
  </w:num>
  <w:num w16cid:durableId="1247304171" w:numId="24">
    <w:abstractNumId w:val="0"/>
  </w:num>
  <w:num w16cid:durableId="380323016" w:numId="25">
    <w:abstractNumId w:val="1"/>
  </w:num>
  <w:num w16cid:durableId="1047413202" w:numId="26">
    <w:abstractNumId w:val="0"/>
  </w:num>
  <w:num w16cid:durableId="1695376311" w:numId="27">
    <w:abstractNumId w:val="1"/>
  </w:num>
  <w:num w16cid:durableId="802845151" w:numId="28">
    <w:abstractNumId w:val="0"/>
  </w:num>
  <w:num w16cid:durableId="1086729671" w:numId="29">
    <w:abstractNumId w:val="1"/>
  </w:num>
  <w:num w16cid:durableId="1587892" w:numId="30">
    <w:abstractNumId w:val="0"/>
  </w:num>
  <w:num w16cid:durableId="2027168970" w:numId="31">
    <w:abstractNumId w:val="1"/>
  </w:num>
  <w:num w16cid:durableId="1054691933" w:numId="32">
    <w:abstractNumId w:val="0"/>
  </w:num>
  <w:num w16cid:durableId="408695641" w:numId="33">
    <w:abstractNumId w:val="1"/>
  </w:num>
  <w:num w16cid:durableId="56561924" w:numId="34">
    <w:abstractNumId w:val="0"/>
  </w:num>
  <w:num w16cid:durableId="8534321" w:numId="35">
    <w:abstractNumId w:val="1"/>
  </w:num>
  <w:num w16cid:durableId="248270521" w:numId="36">
    <w:abstractNumId w:val="0"/>
  </w:num>
  <w:num w16cid:durableId="478498555" w:numId="37">
    <w:abstractNumId w:val="1"/>
  </w:num>
  <w:num w16cid:durableId="252711189" w:numId="38">
    <w:abstractNumId w:val="0"/>
  </w:num>
  <w:num w16cid:durableId="1265335821" w:numId="39">
    <w:abstractNumId w:val="1"/>
  </w:num>
  <w:num w16cid:durableId="817451783" w:numId="40">
    <w:abstractNumId w:val="0"/>
  </w:num>
  <w:num w16cid:durableId="1552033922" w:numId="41">
    <w:abstractNumId w:val="1"/>
  </w:num>
  <w:num w16cid:durableId="1809711346" w:numId="42">
    <w:abstractNumId w:val="0"/>
  </w:num>
  <w:num w16cid:durableId="760223085" w:numId="43">
    <w:abstractNumId w:val="1"/>
  </w:num>
  <w:num w16cid:durableId="2002081114" w:numId="44">
    <w:abstractNumId w:val="0"/>
  </w:num>
  <w:num w16cid:durableId="618994491" w:numId="45">
    <w:abstractNumId w:val="1"/>
  </w:num>
  <w:num w16cid:durableId="719863330" w:numId="46">
    <w:abstractNumId w:val="0"/>
  </w:num>
  <w:num w16cid:durableId="1086225397" w:numId="47">
    <w:abstractNumId w:val="1"/>
  </w:num>
  <w:num w16cid:durableId="823621592" w:numId="48">
    <w:abstractNumId w:val="0"/>
  </w:num>
  <w:num w16cid:durableId="1356351259" w:numId="49">
    <w:abstractNumId w:val="1"/>
  </w:num>
  <w:num w16cid:durableId="1784035892" w:numId="50">
    <w:abstractNumId w:val="0"/>
  </w:num>
  <w:num w16cid:durableId="1742289588" w:numId="51">
    <w:abstractNumId w:val="1"/>
  </w:num>
  <w:num w16cid:durableId="546990840" w:numId="52">
    <w:abstractNumId w:val="0"/>
  </w:num>
  <w:num w16cid:durableId="368652822" w:numId="53">
    <w:abstractNumId w:val="1"/>
  </w:num>
  <w:num w16cid:durableId="805389012" w:numId="54">
    <w:abstractNumId w:val="0"/>
  </w:num>
  <w:num w16cid:durableId="613828312" w:numId="55">
    <w:abstractNumId w:val="1"/>
  </w:num>
  <w:num w16cid:durableId="1018194153" w:numId="56">
    <w:abstractNumId w:val="0"/>
  </w:num>
  <w:num w16cid:durableId="1444375777" w:numId="57">
    <w:abstractNumId w:val="1"/>
  </w:num>
  <w:num w16cid:durableId="821653934" w:numId="58">
    <w:abstractNumId w:val="0"/>
  </w:num>
  <w:num w16cid:durableId="1058435530" w:numId="59">
    <w:abstractNumId w:val="1"/>
  </w:num>
  <w:num w16cid:durableId="1982728286" w:numId="60">
    <w:abstractNumId w:val="0"/>
  </w:num>
  <w:num w16cid:durableId="1242711510" w:numId="61">
    <w:abstractNumId w:val="1"/>
  </w:num>
  <w:num w16cid:durableId="303698820" w:numId="62">
    <w:abstractNumId w:val="0"/>
  </w:num>
  <w:num w16cid:durableId="495727562" w:numId="63">
    <w:abstractNumId w:val="1"/>
  </w:num>
  <w:num w16cid:durableId="1952785578" w:numId="64">
    <w:abstractNumId w:val="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720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qFormat="1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62209"/>
    <w:rPr>
      <w:rFonts w:ascii="Calibri" w:hAnsi="Calibri"/>
      <w:lang w:val="en-GB"/>
    </w:rPr>
  </w:style>
  <w:style w:styleId="Heading1" w:type="paragraph">
    <w:name w:val="heading 1"/>
    <w:basedOn w:val="Normal"/>
    <w:next w:val="BodyText"/>
    <w:uiPriority w:val="9"/>
    <w:qFormat/>
    <w:rsid w:val="00CB7B42"/>
    <w:pPr>
      <w:keepNext/>
      <w:keepLines/>
      <w:spacing w:after="12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D81823"/>
    <w:pPr>
      <w:keepNext/>
      <w:keepLines/>
      <w:spacing w:after="240" w:before="36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51B4D"/>
    <w:pPr>
      <w:keepNext/>
      <w:keepLines/>
      <w:spacing w:after="12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9B1367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color w:themeColor="text1" w:val="000000"/>
      <w:sz w:val="22"/>
    </w:rPr>
  </w:style>
  <w:style w:styleId="Heading5" w:type="paragraph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1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1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1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1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1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E55390"/>
    <w:pPr>
      <w:spacing w:after="180" w:before="180"/>
      <w:jc w:val="both"/>
    </w:pPr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492E40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3162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smallCap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rsid w:val="009137D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DF7330"/>
    <w:pPr>
      <w:keepNext/>
      <w:keepLines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DF7330"/>
    <w:pPr>
      <w:keepNext/>
      <w:keepLines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B14228"/>
    <w:rPr>
      <w:sz w:val="22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D47B4B"/>
    <w:pPr>
      <w:spacing w:after="120"/>
    </w:pPr>
  </w:style>
  <w:style w:customStyle="1" w:styleId="TableCaption" w:type="paragraph">
    <w:name w:val="Table Caption"/>
    <w:basedOn w:val="Caption"/>
    <w:rsid w:val="00A80C79"/>
    <w:rPr>
      <w:sz w:val="18"/>
    </w:rPr>
  </w:style>
  <w:style w:customStyle="1" w:styleId="ImageCaption" w:type="paragraph">
    <w:name w:val="Image Caption"/>
    <w:basedOn w:val="Caption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CaptionChar" w:type="character">
    <w:name w:val="Caption Char"/>
    <w:basedOn w:val="DefaultParagraphFont"/>
    <w:link w:val="Caption"/>
    <w:rsid w:val="00D47B4B"/>
    <w:rPr>
      <w:rFonts w:ascii="Calibri" w:hAnsi="Calibri"/>
    </w:rPr>
  </w:style>
  <w:style w:customStyle="1" w:styleId="VerbatimChar" w:type="characte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FootnoteReference" w:type="character">
    <w:name w:val="footnote reference"/>
    <w:basedOn w:val="CaptionChar"/>
    <w:rPr>
      <w:rFonts w:ascii="Calibri" w:hAnsi="Calibri"/>
      <w:vertAlign w:val="superscript"/>
    </w:rPr>
  </w:style>
  <w:style w:styleId="Hyperlink" w:type="character">
    <w:name w:val="Hyperlink"/>
    <w:basedOn w:val="CaptionChar"/>
    <w:uiPriority w:val="99"/>
    <w:rsid w:val="00DF7330"/>
    <w:rPr>
      <w:rFonts w:ascii="Calibri" w:hAnsi="Calibri"/>
      <w:color w:themeColor="text2" w:themeTint="99" w:val="548DD4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customStyle="1" w:styleId="BodyTextChar" w:type="character">
    <w:name w:val="Body Text Char"/>
    <w:basedOn w:val="DefaultParagraphFont"/>
    <w:link w:val="BodyText"/>
    <w:rsid w:val="00E55390"/>
    <w:rPr>
      <w:rFonts w:ascii="Calibri" w:hAnsi="Calibri"/>
      <w:sz w:val="22"/>
    </w:rPr>
  </w:style>
  <w:style w:styleId="ListParagraph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NoList"/>
    <w:uiPriority w:val="99"/>
    <w:rsid w:val="005E0C3D"/>
    <w:pPr>
      <w:numPr>
        <w:numId w:val="2"/>
      </w:numPr>
    </w:pPr>
  </w:style>
  <w:style w:customStyle="1" w:styleId="Defaultol" w:type="numbering">
    <w:name w:val="Default ol"/>
    <w:basedOn w:val="NoList"/>
    <w:uiPriority w:val="99"/>
    <w:rsid w:val="005E0C3D"/>
    <w:pPr>
      <w:numPr>
        <w:numId w:val="3"/>
      </w:numPr>
    </w:pPr>
  </w:style>
  <w:style w:styleId="Footer" w:type="paragraph">
    <w:name w:val="footer"/>
    <w:basedOn w:val="Normal"/>
    <w:link w:val="FooterChar"/>
    <w:uiPriority w:val="99"/>
    <w:unhideWhenUsed/>
    <w:qFormat/>
    <w:rsid w:val="00DF7330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DF7330"/>
    <w:rPr>
      <w:rFonts w:ascii="Calibri" w:hAnsi="Calibri"/>
    </w:rPr>
  </w:style>
  <w:style w:styleId="PageNumber" w:type="character">
    <w:name w:val="page number"/>
    <w:basedOn w:val="DefaultParagraphFont"/>
    <w:semiHidden/>
    <w:unhideWhenUsed/>
    <w:rsid w:val="00676DF8"/>
  </w:style>
  <w:style w:styleId="Header" w:type="paragraph">
    <w:name w:val="header"/>
    <w:basedOn w:val="Normal"/>
    <w:link w:val="HeaderChar"/>
    <w:uiPriority w:val="99"/>
    <w:unhideWhenUsed/>
    <w:rsid w:val="00DF7330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F7330"/>
    <w:rPr>
      <w:rFonts w:ascii="Calibri" w:hAnsi="Calibri"/>
    </w:rPr>
  </w:style>
  <w:style w:customStyle="1" w:styleId="Captionlabel" w:type="paragraph">
    <w:name w:val="Caption label"/>
    <w:qFormat/>
    <w:rsid w:val="006A5DF9"/>
    <w:pPr>
      <w:jc w:val="both"/>
    </w:pPr>
    <w:rPr>
      <w:rFonts w:ascii="Calibri" w:hAnsi="Calibri"/>
      <w:sz w:val="18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u w:val="none"/>
      <w:bdr w:color="auto" w:space="0" w:sz="0" w:val="none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u w:val="none"/>
      <w:bdr w:color="auto" w:space="0" w:sz="0" w:val="none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u w:val="none"/>
      <w:bdr w:color="auto" w:space="0" w:sz="0" w:val="none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u w:val="none"/>
      <w:bdr w:color="auto" w:space="0" w:sz="0" w:val="none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u w:val="none"/>
      <w:bdr w:color="auto" w:space="0" w:sz="0" w:val="none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u w:val="none"/>
      <w:bdr w:color="auto" w:space="0" w:sz="0" w:val="none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styleId="TOC2" w:type="paragraph">
    <w:name w:val="toc 2"/>
    <w:basedOn w:val="Normal"/>
    <w:next w:val="Normal"/>
    <w:autoRedefine/>
    <w:uiPriority w:val="39"/>
    <w:unhideWhenUsed/>
    <w:rsid w:val="00C63E75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C63E75"/>
    <w:pPr>
      <w:spacing w:after="100"/>
      <w:ind w:left="480"/>
    </w:pPr>
  </w:style>
  <w:style w:styleId="TOC1" w:type="paragraph">
    <w:name w:val="toc 1"/>
    <w:basedOn w:val="Normal"/>
    <w:next w:val="Normal"/>
    <w:autoRedefine/>
    <w:uiPriority w:val="39"/>
    <w:unhideWhenUsed/>
    <w:rsid w:val="00C63E75"/>
    <w:pPr>
      <w:spacing w:after="100"/>
    </w:pPr>
  </w:style>
  <w:style w:styleId="TableofFigures" w:type="paragraph">
    <w:name w:val="table of figures"/>
    <w:basedOn w:val="Normal"/>
    <w:next w:val="Normal"/>
    <w:uiPriority w:val="99"/>
    <w:unhideWhenUsed/>
    <w:rsid w:val="00DF7330"/>
    <w:pPr>
      <w:spacing w:after="0"/>
    </w:pPr>
  </w:style>
  <w:style w:customStyle="1" w:styleId="Documentreference" w:type="paragraph">
    <w:name w:val="Document reference"/>
    <w:basedOn w:val="Normal"/>
    <w:link w:val="DocumentreferenceChar"/>
    <w:uiPriority w:val="1"/>
    <w:qFormat/>
    <w:rsid w:val="003C63CB"/>
    <w:pPr>
      <w:pBdr>
        <w:bottom w:color="auto" w:space="1" w:sz="4" w:val="single"/>
      </w:pBdr>
      <w:spacing w:after="160" w:line="259" w:lineRule="auto"/>
      <w:jc w:val="right"/>
    </w:pPr>
    <w:rPr>
      <w:noProof/>
      <w:sz w:val="28"/>
      <w:szCs w:val="28"/>
      <w:lang w:eastAsia="en-GB"/>
    </w:rPr>
  </w:style>
  <w:style w:customStyle="1" w:styleId="DocumentreferenceChar" w:type="character">
    <w:name w:val="Document reference Char"/>
    <w:basedOn w:val="DefaultParagraphFont"/>
    <w:link w:val="Documentreference"/>
    <w:uiPriority w:val="1"/>
    <w:rsid w:val="003C63CB"/>
    <w:rPr>
      <w:rFonts w:ascii="Calibri" w:hAnsi="Calibri"/>
      <w:noProof/>
      <w:sz w:val="28"/>
      <w:szCs w:val="28"/>
      <w:lang w:eastAsia="en-GB"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1.xml"/>
<Relationship Id="rId10" Type="http://schemas.openxmlformats.org/officeDocument/2006/relationships/footer" Target="footer3.xml"/>
<Relationship Id="rId11" Type="http://schemas.openxmlformats.org/officeDocument/2006/relationships/footer" Target="footer2.xml"/>
<Relationship Id="rId12" Type="http://schemas.openxmlformats.org/officeDocument/2006/relationships/footer" Target="footer4.xml"/>
<Relationship Id="rId20" Type="http://schemas.openxmlformats.org/officeDocument/2006/relationships/hyperlink" Target="mailto:IOTC-Secretariat@fao.org" TargetMode="External"/>
<Relationship Id="rId21" Type="http://schemas.openxmlformats.org/officeDocument/2006/relationships/header" Target="header1.xml"/>
<Relationship Id="rId22" Type="http://schemas.openxmlformats.org/officeDocument/2006/relationships/header" Target="header2.xml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IOTC-Secretariat@fao.org" TargetMode="External"/>
</Relationships>

</file>

<file path=word/_rels/header2.xml.rels><?xml version="1.0" encoding="UTF-8" standalone="yes"?>

<Relationships  xmlns="http://schemas.openxmlformats.org/package/2006/relationships">
<Relationship Id="rId1" Type="http://schemas.openxmlformats.org/officeDocument/2006/relationships/image" Target="media/c1087f3f26286f147e265a5193b9b49d774d231a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12</Pages>
  <Words>1668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TCAC simulation scenario results</dc:title>
  <dc:creator>Author: IOTC Secretariat</dc:creator>
  <cp:keywords/>
  <dcterms:created xsi:type="dcterms:W3CDTF">2024-04-08T13:05:14Z</dcterms:created>
  <dcterms:modified xsi:type="dcterms:W3CDTF">2024-04-08T17:05:14Z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g_caption">
    <vt:lpwstr>True</vt:lpwstr>
  </property>
  <property fmtid="{D5CDD505-2E9C-101B-9397-08002B2CF9AE}" pid="3" name="output">
    <vt:lpwstr/>
  </property>
  <property fmtid="{D5CDD505-2E9C-101B-9397-08002B2CF9AE}" pid="4" name="reference_num">
    <vt:lpwstr>True</vt:lpwstr>
  </property>
</Properties>
</file>