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pPr>
      <w:r>
        <w:rPr>
          <w:rFonts w:ascii="Calibri" w:hAnsi="Calibri"/>
          <w:b/>
          <w:color w:val="1F4E78"/>
          <w:sz w:val="20"/>
        </w:rPr>
        <w:t>PRODUCT &amp; TECHNICAL PLAN</w:t>
      </w:r>
    </w:p>
    <w:p>
      <w:pPr>
        <w:spacing w:after="100"/>
      </w:pPr>
      <w:r>
        <w:rPr>
          <w:rFonts w:ascii="Calibri" w:hAnsi="Calibri"/>
          <w:b/>
          <w:color w:val="17365D"/>
          <w:sz w:val="60"/>
        </w:rPr>
        <w:t>SteadFast</w:t>
      </w:r>
    </w:p>
    <w:p>
      <w:pPr>
        <w:spacing w:after="360"/>
      </w:pPr>
      <w:r>
        <w:rPr>
          <w:rFonts w:ascii="Calibri" w:hAnsi="Calibri"/>
          <w:color w:val="667085"/>
          <w:sz w:val="28"/>
        </w:rPr>
        <w:t>Cloud listing and property marketing platform for Jamaican real-estate brokers and agents</w:t>
      </w:r>
    </w:p>
    <w:p>
      <w:pPr>
        <w:spacing w:after="40"/>
      </w:pPr>
      <w:r>
        <w:rPr>
          <w:rFonts w:ascii="Calibri" w:hAnsi="Calibri"/>
          <w:b/>
          <w:color w:val="17365D"/>
          <w:sz w:val="22"/>
        </w:rPr>
        <w:t xml:space="preserve">Document: </w:t>
      </w:r>
      <w:r>
        <w:rPr>
          <w:rFonts w:ascii="Calibri" w:hAnsi="Calibri"/>
          <w:color w:val="1F2937"/>
          <w:sz w:val="22"/>
        </w:rPr>
        <w:t>Product requirements and technical planning baseline</w:t>
      </w:r>
    </w:p>
    <w:p>
      <w:pPr>
        <w:spacing w:after="40"/>
      </w:pPr>
      <w:r>
        <w:rPr>
          <w:rFonts w:ascii="Calibri" w:hAnsi="Calibri"/>
          <w:b/>
          <w:color w:val="17365D"/>
          <w:sz w:val="22"/>
        </w:rPr>
        <w:t xml:space="preserve">Version: </w:t>
      </w:r>
      <w:r>
        <w:rPr>
          <w:rFonts w:ascii="Calibri" w:hAnsi="Calibri"/>
          <w:color w:val="1F2937"/>
          <w:sz w:val="22"/>
        </w:rPr>
        <w:t>0.1 - Planning Draft</w:t>
      </w:r>
    </w:p>
    <w:p>
      <w:pPr>
        <w:spacing w:after="40"/>
      </w:pPr>
      <w:r>
        <w:rPr>
          <w:rFonts w:ascii="Calibri" w:hAnsi="Calibri"/>
          <w:b/>
          <w:color w:val="17365D"/>
          <w:sz w:val="22"/>
        </w:rPr>
        <w:t xml:space="preserve">Prepared: </w:t>
      </w:r>
      <w:r>
        <w:rPr>
          <w:rFonts w:ascii="Calibri" w:hAnsi="Calibri"/>
          <w:color w:val="1F2937"/>
          <w:sz w:val="22"/>
        </w:rPr>
        <w:t>July 2026</w:t>
      </w:r>
    </w:p>
    <w:p>
      <w:pPr>
        <w:spacing w:after="40"/>
      </w:pPr>
      <w:r>
        <w:rPr>
          <w:rFonts w:ascii="Calibri" w:hAnsi="Calibri"/>
          <w:b/>
          <w:color w:val="17365D"/>
          <w:sz w:val="22"/>
        </w:rPr>
        <w:t xml:space="preserve">Status: </w:t>
      </w:r>
      <w:r>
        <w:rPr>
          <w:rFonts w:ascii="Calibri" w:hAnsi="Calibri"/>
          <w:color w:val="1F2937"/>
          <w:sz w:val="22"/>
        </w:rPr>
        <w:t>Confirmed decisions plus identified future decisions</w:t>
      </w:r>
    </w:p>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EF5FA"/>
          </w:tcPr>
          <w:p>
            <w:pPr>
              <w:spacing w:after="0"/>
            </w:pPr>
            <w:r>
              <w:rPr>
                <w:rFonts w:ascii="Calibri" w:hAnsi="Calibri"/>
                <w:b/>
                <w:color w:val="1F4E78"/>
                <w:sz w:val="22"/>
              </w:rPr>
              <w:t xml:space="preserve">Purpose: </w:t>
            </w:r>
            <w:r>
              <w:rPr>
                <w:rFonts w:ascii="Calibri" w:hAnsi="Calibri"/>
                <w:color w:val="1F2937"/>
                <w:sz w:val="22"/>
              </w:rPr>
              <w:t>This document records the agreed product model, workflows, application areas, engineering approach, security baseline, and delivery process for the first SteadFast implementation.</w:t>
            </w:r>
          </w:p>
        </w:tc>
      </w:tr>
    </w:tbl>
    <w:p>
      <w:pPr>
        <w:spacing w:after="0"/>
      </w:pPr>
    </w:p>
    <w:p>
      <w:pPr>
        <w:pStyle w:val="Heading1"/>
        <w:keepNext/>
      </w:pPr>
      <w:r>
        <w:t>1. Executive summary</w:t>
      </w:r>
    </w:p>
    <w:p>
      <w:r>
        <w:rPr>
          <w:rFonts w:ascii="Calibri" w:hAnsi="Calibri"/>
          <w:color w:val="1F2937"/>
          <w:sz w:val="22"/>
        </w:rPr>
        <w:t>SteadFast will be a multi-tenant cloud platform for Jamaican real-estate brokers and agents to create, approve, manage, advertise, share, and distribute property listings. The brokerage is the root of the professional organization. Brokerages own approved listings, while each published listing must have an active agent representative.</w:t>
      </w:r>
    </w:p>
    <w:p>
      <w:r>
        <w:rPr>
          <w:rFonts w:ascii="Calibri" w:hAnsi="Calibri"/>
          <w:color w:val="1F2937"/>
          <w:sz w:val="22"/>
        </w:rPr>
        <w:t>The platform will also provide a public property-search experience, individual agent websites, brokerage websites, internal SteadFast operations tools, and a full administrative workspace. The design will remain simple enough for novice users while preserving strict permissions, complete change history, and future compatibility with industry listing feeds.</w:t>
      </w:r>
    </w:p>
    <w:p>
      <w:pPr>
        <w:pStyle w:val="Heading1"/>
        <w:keepNext/>
      </w:pPr>
      <w:r>
        <w:t>2. Product goals</w:t>
      </w:r>
    </w:p>
    <w:p>
      <w:pPr>
        <w:pStyle w:val="ListBullet"/>
        <w:spacing w:after="80" w:line="280" w:lineRule="auto"/>
        <w:ind w:left="720" w:hanging="360"/>
      </w:pPr>
      <w:r>
        <w:rPr>
          <w:rFonts w:ascii="Calibri" w:hAnsi="Calibri"/>
          <w:color w:val="1F2937"/>
          <w:sz w:val="22"/>
        </w:rPr>
        <w:t>Give agents a fast, understandable way to create and manage listings without formal software training.</w:t>
      </w:r>
    </w:p>
    <w:p>
      <w:pPr>
        <w:pStyle w:val="ListBullet"/>
        <w:spacing w:after="80" w:line="280" w:lineRule="auto"/>
        <w:ind w:left="720" w:hanging="360"/>
      </w:pPr>
      <w:r>
        <w:rPr>
          <w:rFonts w:ascii="Calibri" w:hAnsi="Calibri"/>
          <w:color w:val="1F2937"/>
          <w:sz w:val="22"/>
        </w:rPr>
        <w:t>Give brokers direct control over publication, material changes, agent membership, listing assignment, and company presentation.</w:t>
      </w:r>
    </w:p>
    <w:p>
      <w:pPr>
        <w:pStyle w:val="ListBullet"/>
        <w:spacing w:after="80" w:line="280" w:lineRule="auto"/>
        <w:ind w:left="720" w:hanging="360"/>
      </w:pPr>
      <w:r>
        <w:rPr>
          <w:rFonts w:ascii="Calibri" w:hAnsi="Calibri"/>
          <w:color w:val="1F2937"/>
          <w:sz w:val="22"/>
        </w:rPr>
        <w:t>Provide polished public property discovery through list search, map search, agent websites, and brokerage websites.</w:t>
      </w:r>
    </w:p>
    <w:p>
      <w:pPr>
        <w:pStyle w:val="ListBullet"/>
        <w:spacing w:after="80" w:line="280" w:lineRule="auto"/>
        <w:ind w:left="720" w:hanging="360"/>
      </w:pPr>
      <w:r>
        <w:rPr>
          <w:rFonts w:ascii="Calibri" w:hAnsi="Calibri"/>
          <w:color w:val="1F2937"/>
          <w:sz w:val="22"/>
        </w:rPr>
        <w:t>Support agent-to-agent listing advertising without duplicating or transferring listing ownership.</w:t>
      </w:r>
    </w:p>
    <w:p>
      <w:pPr>
        <w:pStyle w:val="ListBullet"/>
        <w:spacing w:after="80" w:line="280" w:lineRule="auto"/>
        <w:ind w:left="720" w:hanging="360"/>
      </w:pPr>
      <w:r>
        <w:rPr>
          <w:rFonts w:ascii="Calibri" w:hAnsi="Calibri"/>
          <w:color w:val="1F2937"/>
          <w:sz w:val="22"/>
        </w:rPr>
        <w:t>Create a standards-ready data foundation for RAJ/MLS and Realtor.com International/Move distribution when commercial authorization is available.</w:t>
      </w:r>
    </w:p>
    <w:p>
      <w:pPr>
        <w:pStyle w:val="ListBullet"/>
        <w:spacing w:after="80" w:line="280" w:lineRule="auto"/>
        <w:ind w:left="720" w:hanging="360"/>
      </w:pPr>
      <w:r>
        <w:rPr>
          <w:rFonts w:ascii="Calibri" w:hAnsi="Calibri"/>
          <w:color w:val="1F2937"/>
          <w:sz w:val="22"/>
        </w:rPr>
        <w:t>Maintain a portable, secure, documented codebase that future SteadFast IT staff can operate and move between hosting providers.</w:t>
      </w:r>
    </w:p>
    <w:p>
      <w:pPr>
        <w:pStyle w:val="Heading1"/>
        <w:keepNext/>
      </w:pPr>
      <w:r>
        <w:t>3. Initial scope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D9EAF7"/>
            <w:tcMar>
              <w:top w:w="100" w:type="dxa"/>
              <w:start w:w="120" w:type="dxa"/>
              <w:bottom w:w="100" w:type="dxa"/>
              <w:end w:w="120" w:type="dxa"/>
            </w:tcMar>
            <w:vAlign w:val="center"/>
          </w:tcPr>
          <w:p>
            <w:pPr>
              <w:spacing w:after="0"/>
              <w:jc w:val="left"/>
            </w:pPr>
            <w:r>
              <w:rPr>
                <w:rFonts w:ascii="Calibri" w:hAnsi="Calibri"/>
                <w:b/>
                <w:color w:val="17365D"/>
                <w:sz w:val="19"/>
              </w:rPr>
              <w:t>Included in first product</w:t>
            </w:r>
          </w:p>
        </w:tc>
        <w:tc>
          <w:tcPr>
            <w:tcW w:type="dxa" w:w="4680"/>
            <w:shd w:fill="D9EAF7"/>
            <w:tcMar>
              <w:top w:w="100" w:type="dxa"/>
              <w:start w:w="120" w:type="dxa"/>
              <w:bottom w:w="100" w:type="dxa"/>
              <w:end w:w="120" w:type="dxa"/>
            </w:tcMar>
            <w:vAlign w:val="center"/>
          </w:tcPr>
          <w:p>
            <w:pPr>
              <w:spacing w:after="0"/>
              <w:jc w:val="left"/>
            </w:pPr>
            <w:r>
              <w:rPr>
                <w:rFonts w:ascii="Calibri" w:hAnsi="Calibri"/>
                <w:b/>
                <w:color w:val="17365D"/>
                <w:sz w:val="19"/>
              </w:rPr>
              <w:t>Deferred or future</w:t>
            </w:r>
          </w:p>
        </w:tc>
      </w:tr>
      <w:tr>
        <w:tc>
          <w:tcPr>
            <w:tcW w:type="dxa" w:w="4680"/>
            <w:tcMar>
              <w:top w:w="100" w:type="dxa"/>
              <w:start w:w="120" w:type="dxa"/>
              <w:bottom w:w="100" w:type="dxa"/>
              <w:end w:w="120" w:type="dxa"/>
            </w:tcMar>
            <w:vAlign w:val="center"/>
          </w:tcPr>
          <w:p>
            <w:pPr>
              <w:spacing w:after="0"/>
            </w:pPr>
            <w:r>
              <w:rPr>
                <w:rFonts w:ascii="Calibri" w:hAnsi="Calibri"/>
                <w:color w:val="1F2937"/>
                <w:sz w:val="19"/>
              </w:rPr>
              <w:t>Residential sales and long-term rentals</w:t>
            </w:r>
          </w:p>
        </w:tc>
        <w:tc>
          <w:tcPr>
            <w:tcW w:type="dxa" w:w="4680"/>
            <w:tcMar>
              <w:top w:w="100" w:type="dxa"/>
              <w:start w:w="120" w:type="dxa"/>
              <w:bottom w:w="100" w:type="dxa"/>
              <w:end w:w="120" w:type="dxa"/>
            </w:tcMar>
            <w:vAlign w:val="center"/>
          </w:tcPr>
          <w:p>
            <w:pPr>
              <w:spacing w:after="0"/>
            </w:pPr>
            <w:r>
              <w:rPr>
                <w:rFonts w:ascii="Calibri" w:hAnsi="Calibri"/>
                <w:color w:val="1F2937"/>
                <w:sz w:val="19"/>
              </w:rPr>
              <w:t>Vacation and short-term rentals</w:t>
            </w:r>
          </w:p>
        </w:tc>
      </w:tr>
      <w:tr>
        <w:tc>
          <w:tcPr>
            <w:tcW w:type="dxa" w:w="4680"/>
            <w:tcMar>
              <w:top w:w="100" w:type="dxa"/>
              <w:start w:w="120" w:type="dxa"/>
              <w:bottom w:w="100" w:type="dxa"/>
              <w:end w:w="120" w:type="dxa"/>
            </w:tcMar>
            <w:vAlign w:val="center"/>
          </w:tcPr>
          <w:p>
            <w:pPr>
              <w:spacing w:after="0"/>
            </w:pPr>
            <w:r>
              <w:rPr>
                <w:rFonts w:ascii="Calibri" w:hAnsi="Calibri"/>
                <w:color w:val="1F2937"/>
                <w:sz w:val="19"/>
              </w:rPr>
              <w:t>Commercial properties, land, and developments</w:t>
            </w:r>
          </w:p>
        </w:tc>
        <w:tc>
          <w:tcPr>
            <w:tcW w:type="dxa" w:w="4680"/>
            <w:tcMar>
              <w:top w:w="100" w:type="dxa"/>
              <w:start w:w="120" w:type="dxa"/>
              <w:bottom w:w="100" w:type="dxa"/>
              <w:end w:w="120" w:type="dxa"/>
            </w:tcMar>
            <w:vAlign w:val="center"/>
          </w:tcPr>
          <w:p>
            <w:pPr>
              <w:spacing w:after="0"/>
            </w:pPr>
            <w:r>
              <w:rPr>
                <w:rFonts w:ascii="Calibri" w:hAnsi="Calibri"/>
                <w:color w:val="1F2937"/>
                <w:sz w:val="19"/>
              </w:rPr>
              <w:t>Tenant management and rent collection</w:t>
            </w:r>
          </w:p>
        </w:tc>
      </w:tr>
      <w:tr>
        <w:tc>
          <w:tcPr>
            <w:tcW w:type="dxa" w:w="4680"/>
            <w:tcMar>
              <w:top w:w="100" w:type="dxa"/>
              <w:start w:w="120" w:type="dxa"/>
              <w:bottom w:w="100" w:type="dxa"/>
              <w:end w:w="120" w:type="dxa"/>
            </w:tcMar>
            <w:vAlign w:val="center"/>
          </w:tcPr>
          <w:p>
            <w:pPr>
              <w:spacing w:after="0"/>
            </w:pPr>
            <w:r>
              <w:rPr>
                <w:rFonts w:ascii="Calibri" w:hAnsi="Calibri"/>
                <w:color w:val="1F2937"/>
                <w:sz w:val="19"/>
              </w:rPr>
              <w:t>Listing creation, broker approval, and change history</w:t>
            </w:r>
          </w:p>
        </w:tc>
        <w:tc>
          <w:tcPr>
            <w:tcW w:type="dxa" w:w="4680"/>
            <w:tcMar>
              <w:top w:w="100" w:type="dxa"/>
              <w:start w:w="120" w:type="dxa"/>
              <w:bottom w:w="100" w:type="dxa"/>
              <w:end w:w="120" w:type="dxa"/>
            </w:tcMar>
            <w:vAlign w:val="center"/>
          </w:tcPr>
          <w:p>
            <w:pPr>
              <w:spacing w:after="0"/>
            </w:pPr>
            <w:r>
              <w:rPr>
                <w:rFonts w:ascii="Calibri" w:hAnsi="Calibri"/>
                <w:color w:val="1F2937"/>
                <w:sz w:val="19"/>
              </w:rPr>
              <w:t>Maintenance, inspections, and lease administration</w:t>
            </w:r>
          </w:p>
        </w:tc>
      </w:tr>
      <w:tr>
        <w:tc>
          <w:tcPr>
            <w:tcW w:type="dxa" w:w="4680"/>
            <w:tcMar>
              <w:top w:w="100" w:type="dxa"/>
              <w:start w:w="120" w:type="dxa"/>
              <w:bottom w:w="100" w:type="dxa"/>
              <w:end w:w="120" w:type="dxa"/>
            </w:tcMar>
            <w:vAlign w:val="center"/>
          </w:tcPr>
          <w:p>
            <w:pPr>
              <w:spacing w:after="0"/>
            </w:pPr>
            <w:r>
              <w:rPr>
                <w:rFonts w:ascii="Calibri" w:hAnsi="Calibri"/>
                <w:color w:val="1F2937"/>
                <w:sz w:val="19"/>
              </w:rPr>
              <w:t>Public search, maps, inquiries, and agent selection</w:t>
            </w:r>
          </w:p>
        </w:tc>
        <w:tc>
          <w:tcPr>
            <w:tcW w:type="dxa" w:w="4680"/>
            <w:tcMar>
              <w:top w:w="100" w:type="dxa"/>
              <w:start w:w="120" w:type="dxa"/>
              <w:bottom w:w="100" w:type="dxa"/>
              <w:end w:w="120" w:type="dxa"/>
            </w:tcMar>
            <w:vAlign w:val="center"/>
          </w:tcPr>
          <w:p>
            <w:pPr>
              <w:spacing w:after="0"/>
            </w:pPr>
            <w:r>
              <w:rPr>
                <w:rFonts w:ascii="Calibri" w:hAnsi="Calibri"/>
                <w:color w:val="1F2937"/>
                <w:sz w:val="19"/>
              </w:rPr>
              <w:t>Advanced transaction and commission accounting</w:t>
            </w:r>
          </w:p>
        </w:tc>
      </w:tr>
      <w:tr>
        <w:tc>
          <w:tcPr>
            <w:tcW w:type="dxa" w:w="4680"/>
            <w:tcMar>
              <w:top w:w="100" w:type="dxa"/>
              <w:start w:w="120" w:type="dxa"/>
              <w:bottom w:w="100" w:type="dxa"/>
              <w:end w:w="120" w:type="dxa"/>
            </w:tcMar>
            <w:vAlign w:val="center"/>
          </w:tcPr>
          <w:p>
            <w:pPr>
              <w:spacing w:after="0"/>
            </w:pPr>
            <w:r>
              <w:rPr>
                <w:rFonts w:ascii="Calibri" w:hAnsi="Calibri"/>
                <w:color w:val="1F2937"/>
                <w:sz w:val="19"/>
              </w:rPr>
              <w:t>Agent and brokerage websites</w:t>
            </w:r>
          </w:p>
        </w:tc>
        <w:tc>
          <w:tcPr>
            <w:tcW w:type="dxa" w:w="4680"/>
            <w:tcMar>
              <w:top w:w="100" w:type="dxa"/>
              <w:start w:w="120" w:type="dxa"/>
              <w:bottom w:w="100" w:type="dxa"/>
              <w:end w:w="120" w:type="dxa"/>
            </w:tcMar>
            <w:vAlign w:val="center"/>
          </w:tcPr>
          <w:p>
            <w:pPr>
              <w:spacing w:after="0"/>
            </w:pPr>
            <w:r>
              <w:rPr>
                <w:rFonts w:ascii="Calibri" w:hAnsi="Calibri"/>
                <w:color w:val="1F2937"/>
                <w:sz w:val="19"/>
              </w:rPr>
              <w:t>Native mobile applications</w:t>
            </w:r>
          </w:p>
        </w:tc>
      </w:tr>
      <w:tr>
        <w:tc>
          <w:tcPr>
            <w:tcW w:type="dxa" w:w="4680"/>
            <w:tcMar>
              <w:top w:w="100" w:type="dxa"/>
              <w:start w:w="120" w:type="dxa"/>
              <w:bottom w:w="100" w:type="dxa"/>
              <w:end w:w="120" w:type="dxa"/>
            </w:tcMar>
            <w:vAlign w:val="center"/>
          </w:tcPr>
          <w:p>
            <w:pPr>
              <w:spacing w:after="0"/>
            </w:pPr>
            <w:r>
              <w:rPr>
                <w:rFonts w:ascii="Calibri" w:hAnsi="Calibri"/>
                <w:color w:val="1F2937"/>
                <w:sz w:val="19"/>
              </w:rPr>
              <w:t>Sharing for advertising</w:t>
            </w:r>
          </w:p>
        </w:tc>
        <w:tc>
          <w:tcPr>
            <w:tcW w:type="dxa" w:w="4680"/>
            <w:tcMar>
              <w:top w:w="100" w:type="dxa"/>
              <w:start w:w="120" w:type="dxa"/>
              <w:bottom w:w="100" w:type="dxa"/>
              <w:end w:w="120" w:type="dxa"/>
            </w:tcMar>
            <w:vAlign w:val="center"/>
          </w:tcPr>
          <w:p>
            <w:pPr>
              <w:spacing w:after="0"/>
            </w:pPr>
            <w:r>
              <w:rPr>
                <w:rFonts w:ascii="Calibri" w:hAnsi="Calibri"/>
                <w:color w:val="1F2937"/>
                <w:sz w:val="19"/>
              </w:rPr>
              <w:t>Commission-sharing agreements</w:t>
            </w:r>
          </w:p>
        </w:tc>
      </w:tr>
      <w:tr>
        <w:tc>
          <w:tcPr>
            <w:tcW w:type="dxa" w:w="4680"/>
            <w:tcMar>
              <w:top w:w="100" w:type="dxa"/>
              <w:start w:w="120" w:type="dxa"/>
              <w:bottom w:w="100" w:type="dxa"/>
              <w:end w:w="120" w:type="dxa"/>
            </w:tcMar>
            <w:vAlign w:val="center"/>
          </w:tcPr>
          <w:p>
            <w:pPr>
              <w:spacing w:after="0"/>
            </w:pPr>
            <w:r>
              <w:rPr>
                <w:rFonts w:ascii="Calibri" w:hAnsi="Calibri"/>
                <w:color w:val="1F2937"/>
                <w:sz w:val="19"/>
              </w:rPr>
              <w:t>Feed-ready integration architecture</w:t>
            </w:r>
          </w:p>
        </w:tc>
        <w:tc>
          <w:tcPr>
            <w:tcW w:type="dxa" w:w="4680"/>
            <w:tcMar>
              <w:top w:w="100" w:type="dxa"/>
              <w:start w:w="120" w:type="dxa"/>
              <w:bottom w:w="100" w:type="dxa"/>
              <w:end w:w="120" w:type="dxa"/>
            </w:tcMar>
            <w:vAlign w:val="center"/>
          </w:tcPr>
          <w:p>
            <w:pPr>
              <w:spacing w:after="0"/>
            </w:pPr>
            <w:r>
              <w:rPr>
                <w:rFonts w:ascii="Calibri" w:hAnsi="Calibri"/>
                <w:color w:val="1F2937"/>
                <w:sz w:val="19"/>
              </w:rPr>
              <w:t>Guaranteed external portal syndication before agreements</w:t>
            </w:r>
          </w:p>
        </w:tc>
      </w:tr>
    </w:tbl>
    <w:p>
      <w:pPr>
        <w:spacing w:after="0"/>
      </w:pPr>
    </w:p>
    <w:p>
      <w:pPr>
        <w:pStyle w:val="Heading1"/>
        <w:keepNext/>
      </w:pPr>
      <w:r>
        <w:t>4. Users, hierarchy, and subscriptions</w:t>
      </w:r>
    </w:p>
    <w:p>
      <w:r>
        <w:rPr>
          <w:rFonts w:ascii="Calibri" w:hAnsi="Calibri"/>
          <w:color w:val="1F2937"/>
          <w:sz w:val="22"/>
        </w:rPr>
        <w:t>The broker or brokerage is the root of the professional tree. Public consumers and SteadFast employees exist outside the brokerage hierarchy.</w:t>
      </w:r>
    </w:p>
    <w:tbl>
      <w:tblPr>
        <w:tblStyle w:val="TableGrid"/>
        <w:tblW w:type="dxa" w:w="9360"/>
        <w:jc w:val="left"/>
        <w:tblLayout w:type="fixed"/>
        <w:tblLook w:firstColumn="1" w:firstRow="1" w:lastColumn="0" w:lastRow="0" w:noHBand="0" w:noVBand="1" w:val="04A0"/>
        <w:tblInd w:w="120" w:type="dxa"/>
      </w:tblPr>
      <w:tblGrid>
        <w:gridCol w:w="1800"/>
        <w:gridCol w:w="2100"/>
        <w:gridCol w:w="5460"/>
      </w:tblGrid>
      <w:tr>
        <w:trPr>
          <w:tblHeader w:val="true"/>
        </w:trPr>
        <w:tc>
          <w:tcPr>
            <w:tcW w:type="dxa" w:w="1800"/>
            <w:shd w:fill="D9EAF7"/>
            <w:tcMar>
              <w:top w:w="100" w:type="dxa"/>
              <w:start w:w="120" w:type="dxa"/>
              <w:bottom w:w="100" w:type="dxa"/>
              <w:end w:w="120" w:type="dxa"/>
            </w:tcMar>
            <w:vAlign w:val="center"/>
          </w:tcPr>
          <w:p>
            <w:pPr>
              <w:spacing w:after="0"/>
              <w:jc w:val="left"/>
            </w:pPr>
            <w:r>
              <w:rPr>
                <w:rFonts w:ascii="Calibri" w:hAnsi="Calibri"/>
                <w:b/>
                <w:color w:val="17365D"/>
                <w:sz w:val="19"/>
              </w:rPr>
              <w:t>Area</w:t>
            </w:r>
          </w:p>
        </w:tc>
        <w:tc>
          <w:tcPr>
            <w:tcW w:type="dxa" w:w="2100"/>
            <w:shd w:fill="D9EAF7"/>
            <w:tcMar>
              <w:top w:w="100" w:type="dxa"/>
              <w:start w:w="120" w:type="dxa"/>
              <w:bottom w:w="100" w:type="dxa"/>
              <w:end w:w="120" w:type="dxa"/>
            </w:tcMar>
            <w:vAlign w:val="center"/>
          </w:tcPr>
          <w:p>
            <w:pPr>
              <w:spacing w:after="0"/>
              <w:jc w:val="left"/>
            </w:pPr>
            <w:r>
              <w:rPr>
                <w:rFonts w:ascii="Calibri" w:hAnsi="Calibri"/>
                <w:b/>
                <w:color w:val="17365D"/>
                <w:sz w:val="19"/>
              </w:rPr>
              <w:t>User or role</w:t>
            </w:r>
          </w:p>
        </w:tc>
        <w:tc>
          <w:tcPr>
            <w:tcW w:type="dxa" w:w="5460"/>
            <w:shd w:fill="D9EAF7"/>
            <w:tcMar>
              <w:top w:w="100" w:type="dxa"/>
              <w:start w:w="120" w:type="dxa"/>
              <w:bottom w:w="100" w:type="dxa"/>
              <w:end w:w="120" w:type="dxa"/>
            </w:tcMar>
            <w:vAlign w:val="center"/>
          </w:tcPr>
          <w:p>
            <w:pPr>
              <w:spacing w:after="0"/>
              <w:jc w:val="left"/>
            </w:pPr>
            <w:r>
              <w:rPr>
                <w:rFonts w:ascii="Calibri" w:hAnsi="Calibri"/>
                <w:b/>
                <w:color w:val="17365D"/>
                <w:sz w:val="19"/>
              </w:rPr>
              <w:t>Relationship</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Professional</w:t>
            </w:r>
          </w:p>
        </w:tc>
        <w:tc>
          <w:tcPr>
            <w:tcW w:type="dxa" w:w="2100"/>
            <w:tcMar>
              <w:top w:w="100" w:type="dxa"/>
              <w:start w:w="120" w:type="dxa"/>
              <w:bottom w:w="100" w:type="dxa"/>
              <w:end w:w="120" w:type="dxa"/>
            </w:tcMar>
            <w:vAlign w:val="center"/>
          </w:tcPr>
          <w:p>
            <w:pPr>
              <w:spacing w:after="0"/>
            </w:pPr>
            <w:r>
              <w:rPr>
                <w:rFonts w:ascii="Calibri" w:hAnsi="Calibri"/>
                <w:color w:val="1F2937"/>
                <w:sz w:val="19"/>
              </w:rPr>
              <w:t>Broker</w:t>
            </w:r>
          </w:p>
        </w:tc>
        <w:tc>
          <w:tcPr>
            <w:tcW w:type="dxa" w:w="5460"/>
            <w:tcMar>
              <w:top w:w="100" w:type="dxa"/>
              <w:start w:w="120" w:type="dxa"/>
              <w:bottom w:w="100" w:type="dxa"/>
              <w:end w:w="120" w:type="dxa"/>
            </w:tcMar>
            <w:vAlign w:val="center"/>
          </w:tcPr>
          <w:p>
            <w:pPr>
              <w:spacing w:after="0"/>
            </w:pPr>
            <w:r>
              <w:rPr>
                <w:rFonts w:ascii="Calibri" w:hAnsi="Calibri"/>
                <w:color w:val="1F2937"/>
                <w:sz w:val="19"/>
              </w:rPr>
              <w:t>Owns and controls the brokerage account; inherits broker-staff capabilities.</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Professional</w:t>
            </w:r>
          </w:p>
        </w:tc>
        <w:tc>
          <w:tcPr>
            <w:tcW w:type="dxa" w:w="2100"/>
            <w:tcMar>
              <w:top w:w="100" w:type="dxa"/>
              <w:start w:w="120" w:type="dxa"/>
              <w:bottom w:w="100" w:type="dxa"/>
              <w:end w:w="120" w:type="dxa"/>
            </w:tcMar>
            <w:vAlign w:val="center"/>
          </w:tcPr>
          <w:p>
            <w:pPr>
              <w:spacing w:after="0"/>
            </w:pPr>
            <w:r>
              <w:rPr>
                <w:rFonts w:ascii="Calibri" w:hAnsi="Calibri"/>
                <w:color w:val="1F2937"/>
                <w:sz w:val="19"/>
              </w:rPr>
              <w:t>Broker staff</w:t>
            </w:r>
          </w:p>
        </w:tc>
        <w:tc>
          <w:tcPr>
            <w:tcW w:type="dxa" w:w="5460"/>
            <w:tcMar>
              <w:top w:w="100" w:type="dxa"/>
              <w:start w:w="120" w:type="dxa"/>
              <w:bottom w:w="100" w:type="dxa"/>
              <w:end w:w="120" w:type="dxa"/>
            </w:tcMar>
            <w:vAlign w:val="center"/>
          </w:tcPr>
          <w:p>
            <w:pPr>
              <w:spacing w:after="0"/>
            </w:pPr>
            <w:r>
              <w:rPr>
                <w:rFonts w:ascii="Calibri" w:hAnsi="Calibri"/>
                <w:color w:val="1F2937"/>
                <w:sz w:val="19"/>
              </w:rPr>
              <w:t>Receives delegated broker-like permissions and may also hold the agent role.</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Professional</w:t>
            </w:r>
          </w:p>
        </w:tc>
        <w:tc>
          <w:tcPr>
            <w:tcW w:type="dxa" w:w="2100"/>
            <w:tcMar>
              <w:top w:w="100" w:type="dxa"/>
              <w:start w:w="120" w:type="dxa"/>
              <w:bottom w:w="100" w:type="dxa"/>
              <w:end w:w="120" w:type="dxa"/>
            </w:tcMar>
            <w:vAlign w:val="center"/>
          </w:tcPr>
          <w:p>
            <w:pPr>
              <w:spacing w:after="0"/>
            </w:pPr>
            <w:r>
              <w:rPr>
                <w:rFonts w:ascii="Calibri" w:hAnsi="Calibri"/>
                <w:color w:val="1F2937"/>
                <w:sz w:val="19"/>
              </w:rPr>
              <w:t>Agent</w:t>
            </w:r>
          </w:p>
        </w:tc>
        <w:tc>
          <w:tcPr>
            <w:tcW w:type="dxa" w:w="5460"/>
            <w:tcMar>
              <w:top w:w="100" w:type="dxa"/>
              <w:start w:w="120" w:type="dxa"/>
              <w:bottom w:w="100" w:type="dxa"/>
              <w:end w:w="120" w:type="dxa"/>
            </w:tcMar>
            <w:vAlign w:val="center"/>
          </w:tcPr>
          <w:p>
            <w:pPr>
              <w:spacing w:after="0"/>
            </w:pPr>
            <w:r>
              <w:rPr>
                <w:rFonts w:ascii="Calibri" w:hAnsi="Calibri"/>
                <w:color w:val="1F2937"/>
                <w:sz w:val="19"/>
              </w:rPr>
              <w:t>Belongs to one broker at a time and represents published listings.</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Public</w:t>
            </w:r>
          </w:p>
        </w:tc>
        <w:tc>
          <w:tcPr>
            <w:tcW w:type="dxa" w:w="2100"/>
            <w:tcMar>
              <w:top w:w="100" w:type="dxa"/>
              <w:start w:w="120" w:type="dxa"/>
              <w:bottom w:w="100" w:type="dxa"/>
              <w:end w:w="120" w:type="dxa"/>
            </w:tcMar>
            <w:vAlign w:val="center"/>
          </w:tcPr>
          <w:p>
            <w:pPr>
              <w:spacing w:after="0"/>
            </w:pPr>
            <w:r>
              <w:rPr>
                <w:rFonts w:ascii="Calibri" w:hAnsi="Calibri"/>
                <w:color w:val="1F2937"/>
                <w:sz w:val="19"/>
              </w:rPr>
              <w:t>Registered user</w:t>
            </w:r>
          </w:p>
        </w:tc>
        <w:tc>
          <w:tcPr>
            <w:tcW w:type="dxa" w:w="5460"/>
            <w:tcMar>
              <w:top w:w="100" w:type="dxa"/>
              <w:start w:w="120" w:type="dxa"/>
              <w:bottom w:w="100" w:type="dxa"/>
              <w:end w:w="120" w:type="dxa"/>
            </w:tcMar>
            <w:vAlign w:val="center"/>
          </w:tcPr>
          <w:p>
            <w:pPr>
              <w:spacing w:after="0"/>
            </w:pPr>
            <w:r>
              <w:rPr>
                <w:rFonts w:ascii="Calibri" w:hAnsi="Calibri"/>
                <w:color w:val="1F2937"/>
                <w:sz w:val="19"/>
              </w:rPr>
              <w:t>Browses, saves, and contacts agents; not attached to a brokerage.</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Public</w:t>
            </w:r>
          </w:p>
        </w:tc>
        <w:tc>
          <w:tcPr>
            <w:tcW w:type="dxa" w:w="2100"/>
            <w:tcMar>
              <w:top w:w="100" w:type="dxa"/>
              <w:start w:w="120" w:type="dxa"/>
              <w:bottom w:w="100" w:type="dxa"/>
              <w:end w:w="120" w:type="dxa"/>
            </w:tcMar>
            <w:vAlign w:val="center"/>
          </w:tcPr>
          <w:p>
            <w:pPr>
              <w:spacing w:after="0"/>
            </w:pPr>
            <w:r>
              <w:rPr>
                <w:rFonts w:ascii="Calibri" w:hAnsi="Calibri"/>
                <w:color w:val="1F2937"/>
                <w:sz w:val="19"/>
              </w:rPr>
              <w:t>Unregistered visitor</w:t>
            </w:r>
          </w:p>
        </w:tc>
        <w:tc>
          <w:tcPr>
            <w:tcW w:type="dxa" w:w="5460"/>
            <w:tcMar>
              <w:top w:w="100" w:type="dxa"/>
              <w:start w:w="120" w:type="dxa"/>
              <w:bottom w:w="100" w:type="dxa"/>
              <w:end w:w="120" w:type="dxa"/>
            </w:tcMar>
            <w:vAlign w:val="center"/>
          </w:tcPr>
          <w:p>
            <w:pPr>
              <w:spacing w:after="0"/>
            </w:pPr>
            <w:r>
              <w:rPr>
                <w:rFonts w:ascii="Calibri" w:hAnsi="Calibri"/>
                <w:color w:val="1F2937"/>
                <w:sz w:val="19"/>
              </w:rPr>
              <w:t>Browses and contacts agents without creating an account.</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Internal</w:t>
            </w:r>
          </w:p>
        </w:tc>
        <w:tc>
          <w:tcPr>
            <w:tcW w:type="dxa" w:w="2100"/>
            <w:tcMar>
              <w:top w:w="100" w:type="dxa"/>
              <w:start w:w="120" w:type="dxa"/>
              <w:bottom w:w="100" w:type="dxa"/>
              <w:end w:w="120" w:type="dxa"/>
            </w:tcMar>
            <w:vAlign w:val="center"/>
          </w:tcPr>
          <w:p>
            <w:pPr>
              <w:spacing w:after="0"/>
            </w:pPr>
            <w:r>
              <w:rPr>
                <w:rFonts w:ascii="Calibri" w:hAnsi="Calibri"/>
                <w:color w:val="1F2937"/>
                <w:sz w:val="19"/>
              </w:rPr>
              <w:t>SteadFast operations</w:t>
            </w:r>
          </w:p>
        </w:tc>
        <w:tc>
          <w:tcPr>
            <w:tcW w:type="dxa" w:w="5460"/>
            <w:tcMar>
              <w:top w:w="100" w:type="dxa"/>
              <w:start w:w="120" w:type="dxa"/>
              <w:bottom w:w="100" w:type="dxa"/>
              <w:end w:w="120" w:type="dxa"/>
            </w:tcMar>
            <w:vAlign w:val="center"/>
          </w:tcPr>
          <w:p>
            <w:pPr>
              <w:spacing w:after="0"/>
            </w:pPr>
            <w:r>
              <w:rPr>
                <w:rFonts w:ascii="Calibri" w:hAnsi="Calibri"/>
                <w:color w:val="1F2937"/>
                <w:sz w:val="19"/>
              </w:rPr>
              <w:t>Handles service, billing support, system issues, and broker notifications.</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Internal</w:t>
            </w:r>
          </w:p>
        </w:tc>
        <w:tc>
          <w:tcPr>
            <w:tcW w:type="dxa" w:w="2100"/>
            <w:tcMar>
              <w:top w:w="100" w:type="dxa"/>
              <w:start w:w="120" w:type="dxa"/>
              <w:bottom w:w="100" w:type="dxa"/>
              <w:end w:w="120" w:type="dxa"/>
            </w:tcMar>
            <w:vAlign w:val="center"/>
          </w:tcPr>
          <w:p>
            <w:pPr>
              <w:spacing w:after="0"/>
            </w:pPr>
            <w:r>
              <w:rPr>
                <w:rFonts w:ascii="Calibri" w:hAnsi="Calibri"/>
                <w:color w:val="1F2937"/>
                <w:sz w:val="19"/>
              </w:rPr>
              <w:t>SteadFast administrator</w:t>
            </w:r>
          </w:p>
        </w:tc>
        <w:tc>
          <w:tcPr>
            <w:tcW w:type="dxa" w:w="5460"/>
            <w:tcMar>
              <w:top w:w="100" w:type="dxa"/>
              <w:start w:w="120" w:type="dxa"/>
              <w:bottom w:w="100" w:type="dxa"/>
              <w:end w:w="120" w:type="dxa"/>
            </w:tcMar>
            <w:vAlign w:val="center"/>
          </w:tcPr>
          <w:p>
            <w:pPr>
              <w:spacing w:after="0"/>
            </w:pPr>
            <w:r>
              <w:rPr>
                <w:rFonts w:ascii="Calibri" w:hAnsi="Calibri"/>
                <w:color w:val="1F2937"/>
                <w:sz w:val="19"/>
              </w:rPr>
              <w:t>Controls platform configuration, staff access, integrations, and technical administration.</w:t>
            </w:r>
          </w:p>
        </w:tc>
      </w:tr>
    </w:tbl>
    <w:p>
      <w:pPr>
        <w:spacing w:after="0"/>
      </w:pPr>
    </w:p>
    <w:p>
      <w:pPr>
        <w:pStyle w:val="Heading2"/>
        <w:keepNext/>
      </w:pPr>
      <w:r>
        <w:t>4.1 Multiple roles and billing</w:t>
      </w:r>
    </w:p>
    <w:p>
      <w:pPr>
        <w:pStyle w:val="ListBullet"/>
        <w:spacing w:after="80" w:line="280" w:lineRule="auto"/>
        <w:ind w:left="720" w:hanging="360"/>
      </w:pPr>
      <w:r>
        <w:rPr>
          <w:rFonts w:ascii="Calibri" w:hAnsi="Calibri"/>
          <w:color w:val="1F2937"/>
          <w:sz w:val="22"/>
        </w:rPr>
        <w:t>Roles are permissions attached to one person, not separate accounts.</w:t>
      </w:r>
    </w:p>
    <w:p>
      <w:pPr>
        <w:pStyle w:val="ListBullet"/>
        <w:spacing w:after="80" w:line="280" w:lineRule="auto"/>
        <w:ind w:left="720" w:hanging="360"/>
      </w:pPr>
      <w:r>
        <w:rPr>
          <w:rFonts w:ascii="Calibri" w:hAnsi="Calibri"/>
          <w:color w:val="1F2937"/>
          <w:sz w:val="22"/>
        </w:rPr>
        <w:t>A broker may also act as an agent.</w:t>
      </w:r>
    </w:p>
    <w:p>
      <w:pPr>
        <w:pStyle w:val="ListBullet"/>
        <w:spacing w:after="80" w:line="280" w:lineRule="auto"/>
        <w:ind w:left="720" w:hanging="360"/>
      </w:pPr>
      <w:r>
        <w:rPr>
          <w:rFonts w:ascii="Calibri" w:hAnsi="Calibri"/>
          <w:color w:val="1F2937"/>
          <w:sz w:val="22"/>
        </w:rPr>
        <w:t>A broker staff member may also act as an agent.</w:t>
      </w:r>
    </w:p>
    <w:p>
      <w:pPr>
        <w:pStyle w:val="ListBullet"/>
        <w:spacing w:after="80" w:line="280" w:lineRule="auto"/>
        <w:ind w:left="720" w:hanging="360"/>
      </w:pPr>
      <w:r>
        <w:rPr>
          <w:rFonts w:ascii="Calibri" w:hAnsi="Calibri"/>
          <w:color w:val="1F2937"/>
          <w:sz w:val="22"/>
        </w:rPr>
        <w:t>A person pays once even when holding multiple roles.</w:t>
      </w:r>
    </w:p>
    <w:p>
      <w:pPr>
        <w:pStyle w:val="ListBullet"/>
        <w:spacing w:after="80" w:line="280" w:lineRule="auto"/>
        <w:ind w:left="720" w:hanging="360"/>
      </w:pPr>
      <w:r>
        <w:rPr>
          <w:rFonts w:ascii="Calibri" w:hAnsi="Calibri"/>
          <w:color w:val="1F2937"/>
          <w:sz w:val="22"/>
        </w:rPr>
        <w:t>An agent may belong to only one brokerage at a time in the first release.</w:t>
      </w:r>
    </w:p>
    <w:p>
      <w:pPr>
        <w:pStyle w:val="ListBullet"/>
        <w:spacing w:after="80" w:line="280" w:lineRule="auto"/>
        <w:ind w:left="720" w:hanging="360"/>
      </w:pPr>
      <w:r>
        <w:rPr>
          <w:rFonts w:ascii="Calibri" w:hAnsi="Calibri"/>
          <w:color w:val="1F2937"/>
          <w:sz w:val="22"/>
        </w:rPr>
        <w:t>Broker staff with approval permission may approve their own listing submissions and changes.</w:t>
      </w:r>
    </w:p>
    <w:p>
      <w:pPr>
        <w:pStyle w:val="Heading2"/>
        <w:keepNext/>
      </w:pPr>
      <w:r>
        <w:t>4.2 Broker staff permissions</w:t>
      </w:r>
    </w:p>
    <w:p>
      <w:r>
        <w:rPr>
          <w:rFonts w:ascii="Calibri" w:hAnsi="Calibri"/>
          <w:color w:val="1F2937"/>
          <w:sz w:val="22"/>
        </w:rPr>
        <w:t>The broker may delegate permissions rather than relying on a single fixed staff role. Typical permissions include:</w:t>
      </w:r>
    </w:p>
    <w:p>
      <w:pPr>
        <w:pStyle w:val="ListBullet"/>
        <w:spacing w:after="80" w:line="280" w:lineRule="auto"/>
        <w:ind w:left="720" w:hanging="360"/>
      </w:pPr>
      <w:r>
        <w:rPr>
          <w:rFonts w:ascii="Calibri" w:hAnsi="Calibri"/>
          <w:color w:val="1F2937"/>
          <w:sz w:val="22"/>
        </w:rPr>
        <w:t>Approve new listings and material listing changes.</w:t>
      </w:r>
    </w:p>
    <w:p>
      <w:pPr>
        <w:pStyle w:val="ListBullet"/>
        <w:spacing w:after="80" w:line="280" w:lineRule="auto"/>
        <w:ind w:left="720" w:hanging="360"/>
      </w:pPr>
      <w:r>
        <w:rPr>
          <w:rFonts w:ascii="Calibri" w:hAnsi="Calibri"/>
          <w:color w:val="1F2937"/>
          <w:sz w:val="22"/>
        </w:rPr>
        <w:t>Manage agents and account membership.</w:t>
      </w:r>
    </w:p>
    <w:p>
      <w:pPr>
        <w:pStyle w:val="ListBullet"/>
        <w:spacing w:after="80" w:line="280" w:lineRule="auto"/>
        <w:ind w:left="720" w:hanging="360"/>
      </w:pPr>
      <w:r>
        <w:rPr>
          <w:rFonts w:ascii="Calibri" w:hAnsi="Calibri"/>
          <w:color w:val="1F2937"/>
          <w:sz w:val="22"/>
        </w:rPr>
        <w:t>Reassign unassigned listings.</w:t>
      </w:r>
    </w:p>
    <w:p>
      <w:pPr>
        <w:pStyle w:val="ListBullet"/>
        <w:spacing w:after="80" w:line="280" w:lineRule="auto"/>
        <w:ind w:left="720" w:hanging="360"/>
      </w:pPr>
      <w:r>
        <w:rPr>
          <w:rFonts w:ascii="Calibri" w:hAnsi="Calibri"/>
          <w:color w:val="1F2937"/>
          <w:sz w:val="22"/>
        </w:rPr>
        <w:t>Review flags, approval history, and audit records.</w:t>
      </w:r>
    </w:p>
    <w:p>
      <w:pPr>
        <w:pStyle w:val="ListBullet"/>
        <w:spacing w:after="80" w:line="280" w:lineRule="auto"/>
        <w:ind w:left="720" w:hanging="360"/>
      </w:pPr>
      <w:r>
        <w:rPr>
          <w:rFonts w:ascii="Calibri" w:hAnsi="Calibri"/>
          <w:color w:val="1F2937"/>
          <w:sz w:val="22"/>
        </w:rPr>
        <w:t>Manage brokerage profile information and reports.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pPr>
            <w:r>
              <w:rPr>
                <w:rFonts w:ascii="Calibri" w:hAnsi="Calibri"/>
                <w:b/>
                <w:color w:val="1F4E78"/>
                <w:sz w:val="22"/>
              </w:rPr>
              <w:t xml:space="preserve">Protected broker authority: </w:t>
            </w:r>
            <w:r>
              <w:rPr>
                <w:rFonts w:ascii="Calibri" w:hAnsi="Calibri"/>
                <w:color w:val="1F2937"/>
                <w:sz w:val="22"/>
              </w:rPr>
              <w:t>The principal broker retains control over brokerage ownership, senior staff appointment, brokerage closure, and transfer of primary broker responsibility.</w:t>
            </w:r>
          </w:p>
        </w:tc>
      </w:tr>
    </w:tbl>
    <w:p>
      <w:pPr>
        <w:spacing w:after="0"/>
      </w:pPr>
    </w:p>
    <w:p>
      <w:pPr>
        <w:pStyle w:val="Heading1"/>
        <w:keepNext/>
      </w:pPr>
      <w:r>
        <w:t>5. Listing ownership and representation</w:t>
      </w:r>
    </w:p>
    <w:p>
      <w:pPr>
        <w:pStyle w:val="ListBullet"/>
        <w:spacing w:after="80" w:line="280" w:lineRule="auto"/>
        <w:ind w:left="720" w:hanging="360"/>
      </w:pPr>
      <w:r>
        <w:rPr>
          <w:rFonts w:ascii="Calibri" w:hAnsi="Calibri"/>
          <w:color w:val="1F2937"/>
          <w:sz w:val="22"/>
        </w:rPr>
        <w:t>The brokerage owns every approved listing record created under it.</w:t>
      </w:r>
    </w:p>
    <w:p>
      <w:pPr>
        <w:pStyle w:val="ListBullet"/>
        <w:spacing w:after="80" w:line="280" w:lineRule="auto"/>
        <w:ind w:left="720" w:hanging="360"/>
      </w:pPr>
      <w:r>
        <w:rPr>
          <w:rFonts w:ascii="Calibri" w:hAnsi="Calibri"/>
          <w:color w:val="1F2937"/>
          <w:sz w:val="22"/>
        </w:rPr>
        <w:t>The agent is the listing representative and operational contact, not the data owner.</w:t>
      </w:r>
    </w:p>
    <w:p>
      <w:pPr>
        <w:pStyle w:val="ListBullet"/>
        <w:spacing w:after="80" w:line="280" w:lineRule="auto"/>
        <w:ind w:left="720" w:hanging="360"/>
      </w:pPr>
      <w:r>
        <w:rPr>
          <w:rFonts w:ascii="Calibri" w:hAnsi="Calibri"/>
          <w:color w:val="1F2937"/>
          <w:sz w:val="22"/>
        </w:rPr>
        <w:t>Every public listing must have one active agent representative.</w:t>
      </w:r>
    </w:p>
    <w:p>
      <w:pPr>
        <w:pStyle w:val="ListBullet"/>
        <w:spacing w:after="80" w:line="280" w:lineRule="auto"/>
        <w:ind w:left="720" w:hanging="360"/>
      </w:pPr>
      <w:r>
        <w:rPr>
          <w:rFonts w:ascii="Calibri" w:hAnsi="Calibri"/>
          <w:color w:val="1F2937"/>
          <w:sz w:val="22"/>
        </w:rPr>
        <w:t>A physical property and a listing are separate records; the same property may have historical or contractually valid subsequent listings.</w:t>
      </w:r>
    </w:p>
    <w:p>
      <w:pPr>
        <w:pStyle w:val="ListBullet"/>
        <w:spacing w:after="80" w:line="280" w:lineRule="auto"/>
        <w:ind w:left="720" w:hanging="360"/>
      </w:pPr>
      <w:r>
        <w:rPr>
          <w:rFonts w:ascii="Calibri" w:hAnsi="Calibri"/>
          <w:color w:val="1F2937"/>
          <w:sz w:val="22"/>
        </w:rPr>
        <w:t>Possible duplicate properties are detected and flagged for broker review rather than automatically merged or rejected.</w:t>
      </w:r>
    </w:p>
    <w:p>
      <w:pPr>
        <w:pStyle w:val="ListBullet"/>
        <w:spacing w:after="80" w:line="280" w:lineRule="auto"/>
        <w:ind w:left="720" w:hanging="360"/>
      </w:pPr>
      <w:r>
        <w:rPr>
          <w:rFonts w:ascii="Calibri" w:hAnsi="Calibri"/>
          <w:color w:val="1F2937"/>
          <w:sz w:val="22"/>
        </w:rPr>
        <w:t>Listings are archived rather than permanently deleted so ownership, approvals, and history remain provable.</w:t>
      </w:r>
    </w:p>
    <w:p>
      <w:pPr>
        <w:pStyle w:val="Heading2"/>
        <w:keepNext/>
      </w:pPr>
      <w:r>
        <w:t>5.1 Agent departure</w:t>
      </w:r>
    </w:p>
    <w:p>
      <w:pPr>
        <w:pStyle w:val="ListNumber"/>
        <w:spacing w:after="80" w:line="280" w:lineRule="auto"/>
        <w:ind w:left="720" w:hanging="360"/>
      </w:pPr>
      <w:r>
        <w:rPr>
          <w:rFonts w:ascii="Calibri" w:hAnsi="Calibri"/>
          <w:color w:val="1F2937"/>
          <w:sz w:val="22"/>
        </w:rPr>
        <w:t>The agent's SteadFast account and personal website remain active.</w:t>
      </w:r>
    </w:p>
    <w:p>
      <w:pPr>
        <w:pStyle w:val="ListNumber"/>
        <w:spacing w:after="80" w:line="280" w:lineRule="auto"/>
        <w:ind w:left="720" w:hanging="360"/>
      </w:pPr>
      <w:r>
        <w:rPr>
          <w:rFonts w:ascii="Calibri" w:hAnsi="Calibri"/>
          <w:color w:val="1F2937"/>
          <w:sz w:val="22"/>
        </w:rPr>
        <w:t>The former brokerage membership becomes inactive and the agent loses access to that brokerage's private records.</w:t>
      </w:r>
    </w:p>
    <w:p>
      <w:pPr>
        <w:pStyle w:val="ListNumber"/>
        <w:spacing w:after="80" w:line="280" w:lineRule="auto"/>
        <w:ind w:left="720" w:hanging="360"/>
      </w:pPr>
      <w:r>
        <w:rPr>
          <w:rFonts w:ascii="Calibri" w:hAnsi="Calibri"/>
          <w:color w:val="1F2937"/>
          <w:sz w:val="22"/>
        </w:rPr>
        <w:t>Listings represented by the departing agent are immediately removed from public view, agent websites, shared websites, and external feeds.</w:t>
      </w:r>
    </w:p>
    <w:p>
      <w:pPr>
        <w:pStyle w:val="ListNumber"/>
        <w:spacing w:after="80" w:line="280" w:lineRule="auto"/>
        <w:ind w:left="720" w:hanging="360"/>
      </w:pPr>
      <w:r>
        <w:rPr>
          <w:rFonts w:ascii="Calibri" w:hAnsi="Calibri"/>
          <w:color w:val="1F2937"/>
          <w:sz w:val="22"/>
        </w:rPr>
        <w:t>Those listings remain in the former brokerage's private workspace as unassigned records.</w:t>
      </w:r>
    </w:p>
    <w:p>
      <w:pPr>
        <w:pStyle w:val="ListNumber"/>
        <w:spacing w:after="80" w:line="280" w:lineRule="auto"/>
        <w:ind w:left="720" w:hanging="360"/>
      </w:pPr>
      <w:r>
        <w:rPr>
          <w:rFonts w:ascii="Calibri" w:hAnsi="Calibri"/>
          <w:color w:val="1F2937"/>
          <w:sz w:val="22"/>
        </w:rPr>
        <w:t>The broker assigns another active representative before republication.</w:t>
      </w:r>
    </w:p>
    <w:p>
      <w:pPr>
        <w:pStyle w:val="ListNumber"/>
        <w:spacing w:after="80" w:line="280" w:lineRule="auto"/>
        <w:ind w:left="720" w:hanging="360"/>
      </w:pPr>
      <w:r>
        <w:rPr>
          <w:rFonts w:ascii="Calibri" w:hAnsi="Calibri"/>
          <w:color w:val="1F2937"/>
          <w:sz w:val="22"/>
        </w:rPr>
        <w:t>The former agent's profile, website configuration, account history, and qualifying shared listings remain available.</w:t>
      </w:r>
    </w:p>
    <w:p>
      <w:pPr>
        <w:pStyle w:val="ListNumber"/>
        <w:spacing w:after="80" w:line="280" w:lineRule="auto"/>
        <w:ind w:left="720" w:hanging="360"/>
      </w:pPr>
      <w:r>
        <w:rPr>
          <w:rFonts w:ascii="Calibri" w:hAnsi="Calibri"/>
          <w:color w:val="1F2937"/>
          <w:sz w:val="22"/>
        </w:rPr>
        <w:t>If the agent joins another brokerage, the same login and website continue after the new broker approves membership; former listings do not transfer.</w:t>
      </w:r>
    </w:p>
    <w:p>
      <w:pPr>
        <w:pStyle w:val="Heading1"/>
        <w:keepNext/>
      </w:pPr>
      <w:r>
        <w:t>6. Listing workflow and approvals</w:t>
      </w:r>
    </w:p>
    <w:p>
      <w:r>
        <w:rPr>
          <w:rFonts w:ascii="Calibri" w:hAnsi="Calibri"/>
          <w:color w:val="1F2937"/>
          <w:sz w:val="22"/>
        </w:rPr>
        <w:t>Agents propose listings and changes; brokers or authorized broker staff control publication. SteadFast does not participate in brokerage approval decisions.</w:t>
      </w:r>
    </w:p>
    <w:tbl>
      <w:tblPr>
        <w:tblStyle w:val="TableGrid"/>
        <w:tblW w:type="dxa" w:w="9360"/>
        <w:jc w:val="left"/>
        <w:tblLayout w:type="fixed"/>
        <w:tblLook w:firstColumn="1" w:firstRow="1" w:lastColumn="0" w:lastRow="0" w:noHBand="0" w:noVBand="1" w:val="04A0"/>
        <w:tblInd w:w="120" w:type="dxa"/>
      </w:tblPr>
      <w:tblGrid>
        <w:gridCol w:w="1800"/>
        <w:gridCol w:w="4860"/>
        <w:gridCol w:w="2700"/>
      </w:tblGrid>
      <w:tr>
        <w:trPr>
          <w:tblHeader w:val="true"/>
        </w:trPr>
        <w:tc>
          <w:tcPr>
            <w:tcW w:type="dxa" w:w="1800"/>
            <w:shd w:fill="D9EAF7"/>
            <w:tcMar>
              <w:top w:w="100" w:type="dxa"/>
              <w:start w:w="120" w:type="dxa"/>
              <w:bottom w:w="100" w:type="dxa"/>
              <w:end w:w="120" w:type="dxa"/>
            </w:tcMar>
            <w:vAlign w:val="center"/>
          </w:tcPr>
          <w:p>
            <w:pPr>
              <w:spacing w:after="0"/>
              <w:jc w:val="left"/>
            </w:pPr>
            <w:r>
              <w:rPr>
                <w:rFonts w:ascii="Calibri" w:hAnsi="Calibri"/>
                <w:b/>
                <w:color w:val="17365D"/>
                <w:sz w:val="19"/>
              </w:rPr>
              <w:t>Workflow state</w:t>
            </w:r>
          </w:p>
        </w:tc>
        <w:tc>
          <w:tcPr>
            <w:tcW w:type="dxa" w:w="4860"/>
            <w:shd w:fill="D9EAF7"/>
            <w:tcMar>
              <w:top w:w="100" w:type="dxa"/>
              <w:start w:w="120" w:type="dxa"/>
              <w:bottom w:w="100" w:type="dxa"/>
              <w:end w:w="120" w:type="dxa"/>
            </w:tcMar>
            <w:vAlign w:val="center"/>
          </w:tcPr>
          <w:p>
            <w:pPr>
              <w:spacing w:after="0"/>
              <w:jc w:val="left"/>
            </w:pPr>
            <w:r>
              <w:rPr>
                <w:rFonts w:ascii="Calibri" w:hAnsi="Calibri"/>
                <w:b/>
                <w:color w:val="17365D"/>
                <w:sz w:val="19"/>
              </w:rPr>
              <w:t>Meaning</w:t>
            </w:r>
          </w:p>
        </w:tc>
        <w:tc>
          <w:tcPr>
            <w:tcW w:type="dxa" w:w="2700"/>
            <w:shd w:fill="D9EAF7"/>
            <w:tcMar>
              <w:top w:w="100" w:type="dxa"/>
              <w:start w:w="120" w:type="dxa"/>
              <w:bottom w:w="100" w:type="dxa"/>
              <w:end w:w="120" w:type="dxa"/>
            </w:tcMar>
            <w:vAlign w:val="center"/>
          </w:tcPr>
          <w:p>
            <w:pPr>
              <w:spacing w:after="0"/>
              <w:jc w:val="left"/>
            </w:pPr>
            <w:r>
              <w:rPr>
                <w:rFonts w:ascii="Calibri" w:hAnsi="Calibri"/>
                <w:b/>
                <w:color w:val="17365D"/>
                <w:sz w:val="19"/>
              </w:rPr>
              <w:t>Publicly visible</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Draft</w:t>
            </w:r>
          </w:p>
        </w:tc>
        <w:tc>
          <w:tcPr>
            <w:tcW w:type="dxa" w:w="4860"/>
            <w:tcMar>
              <w:top w:w="100" w:type="dxa"/>
              <w:start w:w="120" w:type="dxa"/>
              <w:bottom w:w="100" w:type="dxa"/>
              <w:end w:w="120" w:type="dxa"/>
            </w:tcMar>
            <w:vAlign w:val="center"/>
          </w:tcPr>
          <w:p>
            <w:pPr>
              <w:spacing w:after="0"/>
            </w:pPr>
            <w:r>
              <w:rPr>
                <w:rFonts w:ascii="Calibri" w:hAnsi="Calibri"/>
                <w:color w:val="1F2937"/>
                <w:sz w:val="19"/>
              </w:rPr>
              <w:t>Agent is preparing the listing.</w:t>
            </w:r>
          </w:p>
        </w:tc>
        <w:tc>
          <w:tcPr>
            <w:tcW w:type="dxa" w:w="2700"/>
            <w:tcMar>
              <w:top w:w="100" w:type="dxa"/>
              <w:start w:w="120" w:type="dxa"/>
              <w:bottom w:w="100" w:type="dxa"/>
              <w:end w:w="120" w:type="dxa"/>
            </w:tcMar>
            <w:vAlign w:val="center"/>
          </w:tcPr>
          <w:p>
            <w:pPr>
              <w:spacing w:after="0"/>
            </w:pPr>
            <w:r>
              <w:rPr>
                <w:rFonts w:ascii="Calibri" w:hAnsi="Calibri"/>
                <w:color w:val="1F2937"/>
                <w:sz w:val="19"/>
              </w:rPr>
              <w:t>No</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Pending approval</w:t>
            </w:r>
          </w:p>
        </w:tc>
        <w:tc>
          <w:tcPr>
            <w:tcW w:type="dxa" w:w="4860"/>
            <w:tcMar>
              <w:top w:w="100" w:type="dxa"/>
              <w:start w:w="120" w:type="dxa"/>
              <w:bottom w:w="100" w:type="dxa"/>
              <w:end w:w="120" w:type="dxa"/>
            </w:tcMar>
            <w:vAlign w:val="center"/>
          </w:tcPr>
          <w:p>
            <w:pPr>
              <w:spacing w:after="0"/>
            </w:pPr>
            <w:r>
              <w:rPr>
                <w:rFonts w:ascii="Calibri" w:hAnsi="Calibri"/>
                <w:color w:val="1F2937"/>
                <w:sz w:val="19"/>
              </w:rPr>
              <w:t>Submitted to broker or authorized staff.</w:t>
            </w:r>
          </w:p>
        </w:tc>
        <w:tc>
          <w:tcPr>
            <w:tcW w:type="dxa" w:w="2700"/>
            <w:tcMar>
              <w:top w:w="100" w:type="dxa"/>
              <w:start w:w="120" w:type="dxa"/>
              <w:bottom w:w="100" w:type="dxa"/>
              <w:end w:w="120" w:type="dxa"/>
            </w:tcMar>
            <w:vAlign w:val="center"/>
          </w:tcPr>
          <w:p>
            <w:pPr>
              <w:spacing w:after="0"/>
            </w:pPr>
            <w:r>
              <w:rPr>
                <w:rFonts w:ascii="Calibri" w:hAnsi="Calibri"/>
                <w:color w:val="1F2937"/>
                <w:sz w:val="19"/>
              </w:rPr>
              <w:t>No for new listing; current version remains live for edits</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Changes requested</w:t>
            </w:r>
          </w:p>
        </w:tc>
        <w:tc>
          <w:tcPr>
            <w:tcW w:type="dxa" w:w="4860"/>
            <w:tcMar>
              <w:top w:w="100" w:type="dxa"/>
              <w:start w:w="120" w:type="dxa"/>
              <w:bottom w:w="100" w:type="dxa"/>
              <w:end w:w="120" w:type="dxa"/>
            </w:tcMar>
            <w:vAlign w:val="center"/>
          </w:tcPr>
          <w:p>
            <w:pPr>
              <w:spacing w:after="0"/>
            </w:pPr>
            <w:r>
              <w:rPr>
                <w:rFonts w:ascii="Calibri" w:hAnsi="Calibri"/>
                <w:color w:val="1F2937"/>
                <w:sz w:val="19"/>
              </w:rPr>
              <w:t>Reviewer returned comments for correction.</w:t>
            </w:r>
          </w:p>
        </w:tc>
        <w:tc>
          <w:tcPr>
            <w:tcW w:type="dxa" w:w="2700"/>
            <w:tcMar>
              <w:top w:w="100" w:type="dxa"/>
              <w:start w:w="120" w:type="dxa"/>
              <w:bottom w:w="100" w:type="dxa"/>
              <w:end w:w="120" w:type="dxa"/>
            </w:tcMar>
            <w:vAlign w:val="center"/>
          </w:tcPr>
          <w:p>
            <w:pPr>
              <w:spacing w:after="0"/>
            </w:pPr>
            <w:r>
              <w:rPr>
                <w:rFonts w:ascii="Calibri" w:hAnsi="Calibri"/>
                <w:color w:val="1F2937"/>
                <w:sz w:val="19"/>
              </w:rPr>
              <w:t>No for new listing; current version remains live for edits</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Approved / Active</w:t>
            </w:r>
          </w:p>
        </w:tc>
        <w:tc>
          <w:tcPr>
            <w:tcW w:type="dxa" w:w="4860"/>
            <w:tcMar>
              <w:top w:w="100" w:type="dxa"/>
              <w:start w:w="120" w:type="dxa"/>
              <w:bottom w:w="100" w:type="dxa"/>
              <w:end w:w="120" w:type="dxa"/>
            </w:tcMar>
            <w:vAlign w:val="center"/>
          </w:tcPr>
          <w:p>
            <w:pPr>
              <w:spacing w:after="0"/>
            </w:pPr>
            <w:r>
              <w:rPr>
                <w:rFonts w:ascii="Calibri" w:hAnsi="Calibri"/>
                <w:color w:val="1F2937"/>
                <w:sz w:val="19"/>
              </w:rPr>
              <w:t>Approved version is published according to visibility.</w:t>
            </w:r>
          </w:p>
        </w:tc>
        <w:tc>
          <w:tcPr>
            <w:tcW w:type="dxa" w:w="2700"/>
            <w:tcMar>
              <w:top w:w="100" w:type="dxa"/>
              <w:start w:w="120" w:type="dxa"/>
              <w:bottom w:w="100" w:type="dxa"/>
              <w:end w:w="120" w:type="dxa"/>
            </w:tcMar>
            <w:vAlign w:val="center"/>
          </w:tcPr>
          <w:p>
            <w:pPr>
              <w:spacing w:after="0"/>
            </w:pPr>
            <w:r>
              <w:rPr>
                <w:rFonts w:ascii="Calibri" w:hAnsi="Calibri"/>
                <w:color w:val="1F2937"/>
                <w:sz w:val="19"/>
              </w:rPr>
              <w:t>Yes when visibility is public</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Under offer</w:t>
            </w:r>
          </w:p>
        </w:tc>
        <w:tc>
          <w:tcPr>
            <w:tcW w:type="dxa" w:w="4860"/>
            <w:tcMar>
              <w:top w:w="100" w:type="dxa"/>
              <w:start w:w="120" w:type="dxa"/>
              <w:bottom w:w="100" w:type="dxa"/>
              <w:end w:w="120" w:type="dxa"/>
            </w:tcMar>
            <w:vAlign w:val="center"/>
          </w:tcPr>
          <w:p>
            <w:pPr>
              <w:spacing w:after="0"/>
            </w:pPr>
            <w:r>
              <w:rPr>
                <w:rFonts w:ascii="Calibri" w:hAnsi="Calibri"/>
                <w:color w:val="1F2937"/>
                <w:sz w:val="19"/>
              </w:rPr>
              <w:t>Status request approved by brokerage.</w:t>
            </w:r>
          </w:p>
        </w:tc>
        <w:tc>
          <w:tcPr>
            <w:tcW w:type="dxa" w:w="2700"/>
            <w:tcMar>
              <w:top w:w="100" w:type="dxa"/>
              <w:start w:w="120" w:type="dxa"/>
              <w:bottom w:w="100" w:type="dxa"/>
              <w:end w:w="120" w:type="dxa"/>
            </w:tcMar>
            <w:vAlign w:val="center"/>
          </w:tcPr>
          <w:p>
            <w:pPr>
              <w:spacing w:after="0"/>
            </w:pPr>
            <w:r>
              <w:rPr>
                <w:rFonts w:ascii="Calibri" w:hAnsi="Calibri"/>
                <w:color w:val="1F2937"/>
                <w:sz w:val="19"/>
              </w:rPr>
              <w:t>Yes, with status</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Sold / Rented</w:t>
            </w:r>
          </w:p>
        </w:tc>
        <w:tc>
          <w:tcPr>
            <w:tcW w:type="dxa" w:w="4860"/>
            <w:tcMar>
              <w:top w:w="100" w:type="dxa"/>
              <w:start w:w="120" w:type="dxa"/>
              <w:bottom w:w="100" w:type="dxa"/>
              <w:end w:w="120" w:type="dxa"/>
            </w:tcMar>
            <w:vAlign w:val="center"/>
          </w:tcPr>
          <w:p>
            <w:pPr>
              <w:spacing w:after="0"/>
            </w:pPr>
            <w:r>
              <w:rPr>
                <w:rFonts w:ascii="Calibri" w:hAnsi="Calibri"/>
                <w:color w:val="1F2937"/>
                <w:sz w:val="19"/>
              </w:rPr>
              <w:t>Final status approved by brokerage.</w:t>
            </w:r>
          </w:p>
        </w:tc>
        <w:tc>
          <w:tcPr>
            <w:tcW w:type="dxa" w:w="2700"/>
            <w:tcMar>
              <w:top w:w="100" w:type="dxa"/>
              <w:start w:w="120" w:type="dxa"/>
              <w:bottom w:w="100" w:type="dxa"/>
              <w:end w:w="120" w:type="dxa"/>
            </w:tcMar>
            <w:vAlign w:val="center"/>
          </w:tcPr>
          <w:p>
            <w:pPr>
              <w:spacing w:after="0"/>
            </w:pPr>
            <w:r>
              <w:rPr>
                <w:rFonts w:ascii="Calibri" w:hAnsi="Calibri"/>
                <w:color w:val="1F2937"/>
                <w:sz w:val="19"/>
              </w:rPr>
              <w:t>Removed from active search</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Withdrawn / Expired</w:t>
            </w:r>
          </w:p>
        </w:tc>
        <w:tc>
          <w:tcPr>
            <w:tcW w:type="dxa" w:w="4860"/>
            <w:tcMar>
              <w:top w:w="100" w:type="dxa"/>
              <w:start w:w="120" w:type="dxa"/>
              <w:bottom w:w="100" w:type="dxa"/>
              <w:end w:w="120" w:type="dxa"/>
            </w:tcMar>
            <w:vAlign w:val="center"/>
          </w:tcPr>
          <w:p>
            <w:pPr>
              <w:spacing w:after="0"/>
            </w:pPr>
            <w:r>
              <w:rPr>
                <w:rFonts w:ascii="Calibri" w:hAnsi="Calibri"/>
                <w:color w:val="1F2937"/>
                <w:sz w:val="19"/>
              </w:rPr>
              <w:t>Broker-approved removal from active marketing.</w:t>
            </w:r>
          </w:p>
        </w:tc>
        <w:tc>
          <w:tcPr>
            <w:tcW w:type="dxa" w:w="2700"/>
            <w:tcMar>
              <w:top w:w="100" w:type="dxa"/>
              <w:start w:w="120" w:type="dxa"/>
              <w:bottom w:w="100" w:type="dxa"/>
              <w:end w:w="120" w:type="dxa"/>
            </w:tcMar>
            <w:vAlign w:val="center"/>
          </w:tcPr>
          <w:p>
            <w:pPr>
              <w:spacing w:after="0"/>
            </w:pPr>
            <w:r>
              <w:rPr>
                <w:rFonts w:ascii="Calibri" w:hAnsi="Calibri"/>
                <w:color w:val="1F2937"/>
                <w:sz w:val="19"/>
              </w:rPr>
              <w:t>No</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Archived</w:t>
            </w:r>
          </w:p>
        </w:tc>
        <w:tc>
          <w:tcPr>
            <w:tcW w:type="dxa" w:w="4860"/>
            <w:tcMar>
              <w:top w:w="100" w:type="dxa"/>
              <w:start w:w="120" w:type="dxa"/>
              <w:bottom w:w="100" w:type="dxa"/>
              <w:end w:w="120" w:type="dxa"/>
            </w:tcMar>
            <w:vAlign w:val="center"/>
          </w:tcPr>
          <w:p>
            <w:pPr>
              <w:spacing w:after="0"/>
            </w:pPr>
            <w:r>
              <w:rPr>
                <w:rFonts w:ascii="Calibri" w:hAnsi="Calibri"/>
                <w:color w:val="1F2937"/>
                <w:sz w:val="19"/>
              </w:rPr>
              <w:t>Retained for history and reporting.</w:t>
            </w:r>
          </w:p>
        </w:tc>
        <w:tc>
          <w:tcPr>
            <w:tcW w:type="dxa" w:w="2700"/>
            <w:tcMar>
              <w:top w:w="100" w:type="dxa"/>
              <w:start w:w="120" w:type="dxa"/>
              <w:bottom w:w="100" w:type="dxa"/>
              <w:end w:w="120" w:type="dxa"/>
            </w:tcMar>
            <w:vAlign w:val="center"/>
          </w:tcPr>
          <w:p>
            <w:pPr>
              <w:spacing w:after="0"/>
            </w:pPr>
            <w:r>
              <w:rPr>
                <w:rFonts w:ascii="Calibri" w:hAnsi="Calibri"/>
                <w:color w:val="1F2937"/>
                <w:sz w:val="19"/>
              </w:rPr>
              <w:t>No</w:t>
            </w:r>
          </w:p>
        </w:tc>
      </w:tr>
    </w:tbl>
    <w:p>
      <w:pPr>
        <w:spacing w:after="0"/>
      </w:pPr>
    </w:p>
    <w:p>
      <w:pPr>
        <w:pStyle w:val="Heading2"/>
        <w:keepNext/>
      </w:pPr>
      <w:r>
        <w:t>6.1 Actions requiring approval</w:t>
      </w:r>
    </w:p>
    <w:p>
      <w:pPr>
        <w:pStyle w:val="ListBullet"/>
        <w:spacing w:after="80" w:line="280" w:lineRule="auto"/>
        <w:ind w:left="720" w:hanging="360"/>
      </w:pPr>
      <w:r>
        <w:rPr>
          <w:rFonts w:ascii="Calibri" w:hAnsi="Calibri"/>
          <w:color w:val="1F2937"/>
          <w:sz w:val="22"/>
        </w:rPr>
        <w:t>Initial publication.</w:t>
      </w:r>
    </w:p>
    <w:p>
      <w:pPr>
        <w:pStyle w:val="ListBullet"/>
        <w:spacing w:after="80" w:line="280" w:lineRule="auto"/>
        <w:ind w:left="720" w:hanging="360"/>
      </w:pPr>
      <w:r>
        <w:rPr>
          <w:rFonts w:ascii="Calibri" w:hAnsi="Calibri"/>
          <w:color w:val="1F2937"/>
          <w:sz w:val="22"/>
        </w:rPr>
        <w:t>Price changes and material property edits.</w:t>
      </w:r>
    </w:p>
    <w:p>
      <w:pPr>
        <w:pStyle w:val="ListBullet"/>
        <w:spacing w:after="80" w:line="280" w:lineRule="auto"/>
        <w:ind w:left="720" w:hanging="360"/>
      </w:pPr>
      <w:r>
        <w:rPr>
          <w:rFonts w:ascii="Calibri" w:hAnsi="Calibri"/>
          <w:color w:val="1F2937"/>
          <w:sz w:val="22"/>
        </w:rPr>
        <w:t>Address, representative, or visibility changes.</w:t>
      </w:r>
    </w:p>
    <w:p>
      <w:pPr>
        <w:pStyle w:val="ListBullet"/>
        <w:spacing w:after="80" w:line="280" w:lineRule="auto"/>
        <w:ind w:left="720" w:hanging="360"/>
      </w:pPr>
      <w:r>
        <w:rPr>
          <w:rFonts w:ascii="Calibri" w:hAnsi="Calibri"/>
          <w:color w:val="1F2937"/>
          <w:sz w:val="22"/>
        </w:rPr>
        <w:t>Under-offer, sold, rented, withdrawn, expired, removal, and republication actions.</w:t>
      </w:r>
    </w:p>
    <w:p>
      <w:pPr>
        <w:pStyle w:val="ListBullet"/>
        <w:spacing w:after="80" w:line="280" w:lineRule="auto"/>
        <w:ind w:left="720" w:hanging="360"/>
      </w:pPr>
      <w:r>
        <w:rPr>
          <w:rFonts w:ascii="Calibri" w:hAnsi="Calibri"/>
          <w:color w:val="1F2937"/>
          <w:sz w:val="22"/>
        </w:rPr>
        <w:t>External publication or syndication actions where the subscription tier requires approval.</w:t>
      </w:r>
    </w:p>
    <w:p>
      <w:pPr>
        <w:pStyle w:val="Heading2"/>
        <w:keepNext/>
      </w:pPr>
      <w:r>
        <w:t>6.2 Pending change design</w:t>
      </w:r>
    </w:p>
    <w:p>
      <w:r>
        <w:rPr>
          <w:rFonts w:ascii="Calibri" w:hAnsi="Calibri"/>
          <w:color w:val="1F2937"/>
          <w:sz w:val="22"/>
        </w:rPr>
        <w:t>A proposed change must not overwrite the currently published version. The broker sees a clear before-and-after comparison and may approve, reject, or request corrections. Approved changes are applied atomically; rejected and resubmitted versions remain in the permanent history.</w:t>
      </w:r>
    </w:p>
    <w:p>
      <w:pPr>
        <w:pStyle w:val="ListBullet"/>
        <w:spacing w:after="80" w:line="280" w:lineRule="auto"/>
        <w:ind w:left="720" w:hanging="360"/>
      </w:pPr>
      <w:r>
        <w:rPr>
          <w:rFonts w:ascii="Calibri" w:hAnsi="Calibri"/>
          <w:color w:val="1F2937"/>
          <w:sz w:val="22"/>
        </w:rPr>
        <w:t>Submitter, approver, timestamps, comments, and changed fields are recorded.</w:t>
      </w:r>
    </w:p>
    <w:p>
      <w:pPr>
        <w:pStyle w:val="ListBullet"/>
        <w:spacing w:after="80" w:line="280" w:lineRule="auto"/>
        <w:ind w:left="720" w:hanging="360"/>
      </w:pPr>
      <w:r>
        <w:rPr>
          <w:rFonts w:ascii="Calibri" w:hAnsi="Calibri"/>
          <w:color w:val="1F2937"/>
          <w:sz w:val="22"/>
        </w:rPr>
        <w:t>Self-approval by authorized broker staff is permitted and explicitly identified.</w:t>
      </w:r>
    </w:p>
    <w:p>
      <w:pPr>
        <w:pStyle w:val="ListBullet"/>
        <w:spacing w:after="80" w:line="280" w:lineRule="auto"/>
        <w:ind w:left="720" w:hanging="360"/>
      </w:pPr>
      <w:r>
        <w:rPr>
          <w:rFonts w:ascii="Calibri" w:hAnsi="Calibri"/>
          <w:color w:val="1F2937"/>
          <w:sz w:val="22"/>
        </w:rPr>
        <w:t>Agents and brokerage reviewers can view the history relevant to their listings.</w:t>
      </w:r>
    </w:p>
    <w:p>
      <w:pPr>
        <w:pStyle w:val="ListBullet"/>
        <w:spacing w:after="80" w:line="280" w:lineRule="auto"/>
        <w:ind w:left="720" w:hanging="360"/>
      </w:pPr>
      <w:r>
        <w:rPr>
          <w:rFonts w:ascii="Calibri" w:hAnsi="Calibri"/>
          <w:color w:val="1F2937"/>
          <w:sz w:val="22"/>
        </w:rPr>
        <w:t>An approved removal archives the listing rather than erasing it.</w:t>
      </w:r>
    </w:p>
    <w:p>
      <w:r>
        <w:br w:type="page"/>
      </w:r>
    </w:p>
    <w:p>
      <w:pPr>
        <w:pStyle w:val="Heading1"/>
        <w:keepNext/>
      </w:pPr>
      <w:r>
        <w:t>7. Visibility</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D9EAF7"/>
            <w:tcMar>
              <w:top w:w="100" w:type="dxa"/>
              <w:start w:w="120" w:type="dxa"/>
              <w:bottom w:w="100" w:type="dxa"/>
              <w:end w:w="120" w:type="dxa"/>
            </w:tcMar>
            <w:vAlign w:val="center"/>
          </w:tcPr>
          <w:p>
            <w:pPr>
              <w:spacing w:after="0"/>
              <w:jc w:val="left"/>
            </w:pPr>
            <w:r>
              <w:rPr>
                <w:rFonts w:ascii="Calibri" w:hAnsi="Calibri"/>
                <w:b/>
                <w:color w:val="17365D"/>
                <w:sz w:val="19"/>
              </w:rPr>
              <w:t>Visibility</w:t>
            </w:r>
          </w:p>
        </w:tc>
        <w:tc>
          <w:tcPr>
            <w:tcW w:type="dxa" w:w="3000"/>
            <w:shd w:fill="D9EAF7"/>
            <w:tcMar>
              <w:top w:w="100" w:type="dxa"/>
              <w:start w:w="120" w:type="dxa"/>
              <w:bottom w:w="100" w:type="dxa"/>
              <w:end w:w="120" w:type="dxa"/>
            </w:tcMar>
            <w:vAlign w:val="center"/>
          </w:tcPr>
          <w:p>
            <w:pPr>
              <w:spacing w:after="0"/>
              <w:jc w:val="left"/>
            </w:pPr>
            <w:r>
              <w:rPr>
                <w:rFonts w:ascii="Calibri" w:hAnsi="Calibri"/>
                <w:b/>
                <w:color w:val="17365D"/>
                <w:sz w:val="19"/>
              </w:rPr>
              <w:t>Audience</w:t>
            </w:r>
          </w:p>
        </w:tc>
        <w:tc>
          <w:tcPr>
            <w:tcW w:type="dxa" w:w="4560"/>
            <w:shd w:fill="D9EAF7"/>
            <w:tcMar>
              <w:top w:w="100" w:type="dxa"/>
              <w:start w:w="120" w:type="dxa"/>
              <w:bottom w:w="100" w:type="dxa"/>
              <w:end w:w="120" w:type="dxa"/>
            </w:tcMar>
            <w:vAlign w:val="center"/>
          </w:tcPr>
          <w:p>
            <w:pPr>
              <w:spacing w:after="0"/>
              <w:jc w:val="left"/>
            </w:pPr>
            <w:r>
              <w:rPr>
                <w:rFonts w:ascii="Calibri" w:hAnsi="Calibri"/>
                <w:b/>
                <w:color w:val="17365D"/>
                <w:sz w:val="19"/>
              </w:rPr>
              <w:t>Rule</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Private</w:t>
            </w:r>
          </w:p>
        </w:tc>
        <w:tc>
          <w:tcPr>
            <w:tcW w:type="dxa" w:w="3000"/>
            <w:tcMar>
              <w:top w:w="100" w:type="dxa"/>
              <w:start w:w="120" w:type="dxa"/>
              <w:bottom w:w="100" w:type="dxa"/>
              <w:end w:w="120" w:type="dxa"/>
            </w:tcMar>
            <w:vAlign w:val="center"/>
          </w:tcPr>
          <w:p>
            <w:pPr>
              <w:spacing w:after="0"/>
            </w:pPr>
            <w:r>
              <w:rPr>
                <w:rFonts w:ascii="Calibri" w:hAnsi="Calibri"/>
                <w:color w:val="1F2937"/>
                <w:sz w:val="19"/>
              </w:rPr>
              <w:t>Assigned agent and authorized brokerage users</w:t>
            </w:r>
          </w:p>
        </w:tc>
        <w:tc>
          <w:tcPr>
            <w:tcW w:type="dxa" w:w="4560"/>
            <w:tcMar>
              <w:top w:w="100" w:type="dxa"/>
              <w:start w:w="120" w:type="dxa"/>
              <w:bottom w:w="100" w:type="dxa"/>
              <w:end w:w="120" w:type="dxa"/>
            </w:tcMar>
            <w:vAlign w:val="center"/>
          </w:tcPr>
          <w:p>
            <w:pPr>
              <w:spacing w:after="0"/>
            </w:pPr>
            <w:r>
              <w:rPr>
                <w:rFonts w:ascii="Calibri" w:hAnsi="Calibri"/>
                <w:color w:val="1F2937"/>
                <w:sz w:val="19"/>
              </w:rPr>
              <w:t>Used for drafts, pending work, and internal records.</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Professional network</w:t>
            </w:r>
          </w:p>
        </w:tc>
        <w:tc>
          <w:tcPr>
            <w:tcW w:type="dxa" w:w="3000"/>
            <w:tcMar>
              <w:top w:w="100" w:type="dxa"/>
              <w:start w:w="120" w:type="dxa"/>
              <w:bottom w:w="100" w:type="dxa"/>
              <w:end w:w="120" w:type="dxa"/>
            </w:tcMar>
            <w:vAlign w:val="center"/>
          </w:tcPr>
          <w:p>
            <w:pPr>
              <w:spacing w:after="0"/>
            </w:pPr>
            <w:r>
              <w:rPr>
                <w:rFonts w:ascii="Calibri" w:hAnsi="Calibri"/>
                <w:color w:val="1F2937"/>
                <w:sz w:val="19"/>
              </w:rPr>
              <w:t>Approved SteadFast agents and brokers</w:t>
            </w:r>
          </w:p>
        </w:tc>
        <w:tc>
          <w:tcPr>
            <w:tcW w:type="dxa" w:w="4560"/>
            <w:tcMar>
              <w:top w:w="100" w:type="dxa"/>
              <w:start w:w="120" w:type="dxa"/>
              <w:bottom w:w="100" w:type="dxa"/>
              <w:end w:w="120" w:type="dxa"/>
            </w:tcMar>
            <w:vAlign w:val="center"/>
          </w:tcPr>
          <w:p>
            <w:pPr>
              <w:spacing w:after="0"/>
            </w:pPr>
            <w:r>
              <w:rPr>
                <w:rFonts w:ascii="Calibri" w:hAnsi="Calibri"/>
                <w:color w:val="1F2937"/>
                <w:sz w:val="19"/>
              </w:rPr>
              <w:t>Available for professional discovery or advertising subject to listing state.</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Public</w:t>
            </w:r>
          </w:p>
        </w:tc>
        <w:tc>
          <w:tcPr>
            <w:tcW w:type="dxa" w:w="3000"/>
            <w:tcMar>
              <w:top w:w="100" w:type="dxa"/>
              <w:start w:w="120" w:type="dxa"/>
              <w:bottom w:w="100" w:type="dxa"/>
              <w:end w:w="120" w:type="dxa"/>
            </w:tcMar>
            <w:vAlign w:val="center"/>
          </w:tcPr>
          <w:p>
            <w:pPr>
              <w:spacing w:after="0"/>
            </w:pPr>
            <w:r>
              <w:rPr>
                <w:rFonts w:ascii="Calibri" w:hAnsi="Calibri"/>
                <w:color w:val="1F2937"/>
                <w:sz w:val="19"/>
              </w:rPr>
              <w:t>Visitors and registered users</w:t>
            </w:r>
          </w:p>
        </w:tc>
        <w:tc>
          <w:tcPr>
            <w:tcW w:type="dxa" w:w="4560"/>
            <w:tcMar>
              <w:top w:w="100" w:type="dxa"/>
              <w:start w:w="120" w:type="dxa"/>
              <w:bottom w:w="100" w:type="dxa"/>
              <w:end w:w="120" w:type="dxa"/>
            </w:tcMar>
            <w:vAlign w:val="center"/>
          </w:tcPr>
          <w:p>
            <w:pPr>
              <w:spacing w:after="0"/>
            </w:pPr>
            <w:r>
              <w:rPr>
                <w:rFonts w:ascii="Calibri" w:hAnsi="Calibri"/>
                <w:color w:val="1F2937"/>
                <w:sz w:val="19"/>
              </w:rPr>
              <w:t>Requires approval, active representative, and active status.</w:t>
            </w:r>
          </w:p>
        </w:tc>
      </w:tr>
    </w:tbl>
    <w:p>
      <w:pPr>
        <w:spacing w:after="0"/>
      </w:pPr>
    </w:p>
    <w:p>
      <w:pPr>
        <w:pStyle w:val="Heading1"/>
        <w:keepNext/>
      </w:pPr>
      <w:r>
        <w:t>8. Agent-to-agent sharing</w:t>
      </w:r>
    </w:p>
    <w:p>
      <w:r>
        <w:rPr>
          <w:rFonts w:ascii="Calibri" w:hAnsi="Calibri"/>
          <w:color w:val="1F2937"/>
          <w:sz w:val="22"/>
        </w:rPr>
        <w:t>Sharing is an advertising permission and does not require broker approval. It never transfers ownership or edit authority.</w:t>
      </w:r>
    </w:p>
    <w:p>
      <w:pPr>
        <w:pStyle w:val="ListBullet"/>
        <w:spacing w:after="80" w:line="280" w:lineRule="auto"/>
        <w:ind w:left="720" w:hanging="360"/>
      </w:pPr>
      <w:r>
        <w:rPr>
          <w:rFonts w:ascii="Calibri" w:hAnsi="Calibri"/>
          <w:color w:val="1F2937"/>
          <w:sz w:val="22"/>
        </w:rPr>
        <w:t>The displaying agent may show the listing on their personal website but cannot edit it.</w:t>
      </w:r>
    </w:p>
    <w:p>
      <w:pPr>
        <w:pStyle w:val="ListBullet"/>
        <w:spacing w:after="80" w:line="280" w:lineRule="auto"/>
        <w:ind w:left="720" w:hanging="360"/>
      </w:pPr>
      <w:r>
        <w:rPr>
          <w:rFonts w:ascii="Calibri" w:hAnsi="Calibri"/>
          <w:color w:val="1F2937"/>
          <w:sz w:val="22"/>
        </w:rPr>
        <w:t>The listing page shows both the displaying agent and the listing-owner agent; the consumer chooses whom to contact.</w:t>
      </w:r>
    </w:p>
    <w:p>
      <w:pPr>
        <w:pStyle w:val="ListBullet"/>
        <w:spacing w:after="80" w:line="280" w:lineRule="auto"/>
        <w:ind w:left="720" w:hanging="360"/>
      </w:pPr>
      <w:r>
        <w:rPr>
          <w:rFonts w:ascii="Calibri" w:hAnsi="Calibri"/>
          <w:color w:val="1F2937"/>
          <w:sz w:val="22"/>
        </w:rPr>
        <w:t>Both agents receive an inquiry notification, while the consumer-selected agent is recorded as the primary recipient.</w:t>
      </w:r>
    </w:p>
    <w:p>
      <w:pPr>
        <w:pStyle w:val="ListBullet"/>
        <w:spacing w:after="80" w:line="280" w:lineRule="auto"/>
        <w:ind w:left="720" w:hanging="360"/>
      </w:pPr>
      <w:r>
        <w:rPr>
          <w:rFonts w:ascii="Calibri" w:hAnsi="Calibri"/>
          <w:color w:val="1F2937"/>
          <w:sz w:val="22"/>
        </w:rPr>
        <w:t>The displaying agent may remove the listing from their own website; the owner agent is notified.</w:t>
      </w:r>
    </w:p>
    <w:p>
      <w:pPr>
        <w:pStyle w:val="ListBullet"/>
        <w:spacing w:after="80" w:line="280" w:lineRule="auto"/>
        <w:ind w:left="720" w:hanging="360"/>
      </w:pPr>
      <w:r>
        <w:rPr>
          <w:rFonts w:ascii="Calibri" w:hAnsi="Calibri"/>
          <w:color w:val="1F2937"/>
          <w:sz w:val="22"/>
        </w:rPr>
        <w:t>The owner agent may revoke a share; the displaying agent is notified.</w:t>
      </w:r>
    </w:p>
    <w:p>
      <w:pPr>
        <w:pStyle w:val="ListBullet"/>
        <w:spacing w:after="80" w:line="280" w:lineRule="auto"/>
        <w:ind w:left="720" w:hanging="360"/>
      </w:pPr>
      <w:r>
        <w:rPr>
          <w:rFonts w:ascii="Calibri" w:hAnsi="Calibri"/>
          <w:color w:val="1F2937"/>
          <w:sz w:val="22"/>
        </w:rPr>
        <w:t>Every approved listing change notifies all displaying agents and updates every display automatically.</w:t>
      </w:r>
    </w:p>
    <w:p>
      <w:pPr>
        <w:pStyle w:val="ListBullet"/>
        <w:spacing w:after="80" w:line="280" w:lineRule="auto"/>
        <w:ind w:left="720" w:hanging="360"/>
      </w:pPr>
      <w:r>
        <w:rPr>
          <w:rFonts w:ascii="Calibri" w:hAnsi="Calibri"/>
          <w:color w:val="1F2937"/>
          <w:sz w:val="22"/>
        </w:rPr>
        <w:t>Sold, rented, withdrawn, expired, unassigned, or unpublished listings are removed from all shared displays automatically.</w:t>
      </w:r>
    </w:p>
    <w:p>
      <w:pPr>
        <w:pStyle w:val="ListBullet"/>
        <w:spacing w:after="80" w:line="280" w:lineRule="auto"/>
        <w:ind w:left="720" w:hanging="360"/>
      </w:pPr>
      <w:r>
        <w:rPr>
          <w:rFonts w:ascii="Calibri" w:hAnsi="Calibri"/>
          <w:color w:val="1F2937"/>
          <w:sz w:val="22"/>
        </w:rPr>
        <w:t>Sharing, removal, revocation, and notification events are retained in the audit history.</w:t>
      </w:r>
    </w:p>
    <w:p>
      <w:pPr>
        <w:pStyle w:val="Heading1"/>
        <w:keepNext/>
      </w:pPr>
      <w:r>
        <w:t>9. Public experience</w:t>
      </w:r>
    </w:p>
    <w:p>
      <w:pPr>
        <w:pStyle w:val="Heading2"/>
        <w:keepNext/>
      </w:pPr>
      <w:r>
        <w:t>9.1 Visitor and registered-user pages</w:t>
      </w:r>
    </w:p>
    <w:p>
      <w:pPr>
        <w:pStyle w:val="ListBullet"/>
        <w:spacing w:after="80" w:line="280" w:lineRule="auto"/>
        <w:ind w:left="720" w:hanging="360"/>
      </w:pPr>
      <w:r>
        <w:rPr>
          <w:rFonts w:ascii="Calibri" w:hAnsi="Calibri"/>
          <w:color w:val="1F2937"/>
          <w:sz w:val="22"/>
        </w:rPr>
        <w:t>Homepage with simple discovery paths.</w:t>
      </w:r>
    </w:p>
    <w:p>
      <w:pPr>
        <w:pStyle w:val="ListBullet"/>
        <w:spacing w:after="80" w:line="280" w:lineRule="auto"/>
        <w:ind w:left="720" w:hanging="360"/>
      </w:pPr>
      <w:r>
        <w:rPr>
          <w:rFonts w:ascii="Calibri" w:hAnsi="Calibri"/>
          <w:color w:val="1F2937"/>
          <w:sz w:val="22"/>
        </w:rPr>
        <w:t>Property search with filters, list view, and synchronized map view.</w:t>
      </w:r>
    </w:p>
    <w:p>
      <w:pPr>
        <w:pStyle w:val="ListBullet"/>
        <w:spacing w:after="80" w:line="280" w:lineRule="auto"/>
        <w:ind w:left="720" w:hanging="360"/>
      </w:pPr>
      <w:r>
        <w:rPr>
          <w:rFonts w:ascii="Calibri" w:hAnsi="Calibri"/>
          <w:color w:val="1F2937"/>
          <w:sz w:val="22"/>
        </w:rPr>
        <w:t>Individual property pages with the relevant agent contacts.</w:t>
      </w:r>
    </w:p>
    <w:p>
      <w:pPr>
        <w:pStyle w:val="ListBullet"/>
        <w:spacing w:after="80" w:line="280" w:lineRule="auto"/>
        <w:ind w:left="720" w:hanging="360"/>
      </w:pPr>
      <w:r>
        <w:rPr>
          <w:rFonts w:ascii="Calibri" w:hAnsi="Calibri"/>
          <w:color w:val="1F2937"/>
          <w:sz w:val="22"/>
        </w:rPr>
        <w:t>Agent public websites and profiles.</w:t>
      </w:r>
    </w:p>
    <w:p>
      <w:pPr>
        <w:pStyle w:val="ListBullet"/>
        <w:spacing w:after="80" w:line="280" w:lineRule="auto"/>
        <w:ind w:left="720" w:hanging="360"/>
      </w:pPr>
      <w:r>
        <w:rPr>
          <w:rFonts w:ascii="Calibri" w:hAnsi="Calibri"/>
          <w:color w:val="1F2937"/>
          <w:sz w:val="22"/>
        </w:rPr>
        <w:t>Brokerage public websites and agent directories.</w:t>
      </w:r>
    </w:p>
    <w:p>
      <w:pPr>
        <w:pStyle w:val="ListBullet"/>
        <w:spacing w:after="80" w:line="280" w:lineRule="auto"/>
        <w:ind w:left="720" w:hanging="360"/>
      </w:pPr>
      <w:r>
        <w:rPr>
          <w:rFonts w:ascii="Calibri" w:hAnsi="Calibri"/>
          <w:color w:val="1F2937"/>
          <w:sz w:val="22"/>
        </w:rPr>
        <w:t>Inquiry and viewing-request forms without mandatory registration.</w:t>
      </w:r>
    </w:p>
    <w:p>
      <w:pPr>
        <w:pStyle w:val="ListBullet"/>
        <w:spacing w:after="80" w:line="280" w:lineRule="auto"/>
        <w:ind w:left="720" w:hanging="360"/>
      </w:pPr>
      <w:r>
        <w:rPr>
          <w:rFonts w:ascii="Calibri" w:hAnsi="Calibri"/>
          <w:color w:val="1F2937"/>
          <w:sz w:val="22"/>
        </w:rPr>
        <w:t>Optional registered-user favourites, saved searches, and inquiry history.</w:t>
      </w:r>
    </w:p>
    <w:p>
      <w:pPr>
        <w:pStyle w:val="Heading2"/>
        <w:keepNext/>
      </w:pPr>
      <w:r>
        <w:t>9.2 Map behaviour</w:t>
      </w:r>
    </w:p>
    <w:p>
      <w:pPr>
        <w:pStyle w:val="ListBullet"/>
        <w:spacing w:after="80" w:line="280" w:lineRule="auto"/>
        <w:ind w:left="720" w:hanging="360"/>
      </w:pPr>
      <w:r>
        <w:rPr>
          <w:rFonts w:ascii="Calibri" w:hAnsi="Calibri"/>
          <w:color w:val="1F2937"/>
          <w:sz w:val="22"/>
        </w:rPr>
        <w:t>Close zoom shows individual property markers.</w:t>
      </w:r>
    </w:p>
    <w:p>
      <w:pPr>
        <w:pStyle w:val="ListBullet"/>
        <w:spacing w:after="80" w:line="280" w:lineRule="auto"/>
        <w:ind w:left="720" w:hanging="360"/>
      </w:pPr>
      <w:r>
        <w:rPr>
          <w:rFonts w:ascii="Calibri" w:hAnsi="Calibri"/>
          <w:color w:val="1F2937"/>
          <w:sz w:val="22"/>
        </w:rPr>
        <w:t>Medium zoom groups nearby markers into numbered clusters.</w:t>
      </w:r>
    </w:p>
    <w:p>
      <w:pPr>
        <w:pStyle w:val="ListBullet"/>
        <w:spacing w:after="80" w:line="280" w:lineRule="auto"/>
        <w:ind w:left="720" w:hanging="360"/>
      </w:pPr>
      <w:r>
        <w:rPr>
          <w:rFonts w:ascii="Calibri" w:hAnsi="Calibri"/>
          <w:color w:val="1F2937"/>
          <w:sz w:val="22"/>
        </w:rPr>
        <w:t>Parish and national zoom show area clusters and listing counts.</w:t>
      </w:r>
    </w:p>
    <w:p>
      <w:pPr>
        <w:pStyle w:val="ListBullet"/>
        <w:spacing w:after="80" w:line="280" w:lineRule="auto"/>
        <w:ind w:left="720" w:hanging="360"/>
      </w:pPr>
      <w:r>
        <w:rPr>
          <w:rFonts w:ascii="Calibri" w:hAnsi="Calibri"/>
          <w:color w:val="1F2937"/>
          <w:sz w:val="22"/>
        </w:rPr>
        <w:t>Moving or zooming the map refreshes results inside the visible area.</w:t>
      </w:r>
    </w:p>
    <w:p>
      <w:pPr>
        <w:pStyle w:val="ListBullet"/>
        <w:spacing w:after="80" w:line="280" w:lineRule="auto"/>
        <w:ind w:left="720" w:hanging="360"/>
      </w:pPr>
      <w:r>
        <w:rPr>
          <w:rFonts w:ascii="Calibri" w:hAnsi="Calibri"/>
          <w:color w:val="1F2937"/>
          <w:sz w:val="22"/>
        </w:rPr>
        <w:t>Exact geocoded addresses are used by default, with a future broker-controlled approximate-location option if required.</w:t>
      </w:r>
    </w:p>
    <w:p>
      <w:pPr>
        <w:pStyle w:val="Heading1"/>
        <w:keepNext/>
      </w:pPr>
      <w:r>
        <w:t>10. Agent website</w:t>
      </w:r>
    </w:p>
    <w:p>
      <w:r>
        <w:rPr>
          <w:rFonts w:ascii="Calibri" w:hAnsi="Calibri"/>
          <w:color w:val="1F2937"/>
          <w:sz w:val="22"/>
        </w:rPr>
        <w:t>Every active agent account receives a persistent website and subdomain. The site remains active when the agent changes brokerages, although former-brokerage listings are removed.</w:t>
      </w:r>
    </w:p>
    <w:p>
      <w:pPr>
        <w:pStyle w:val="ListBullet"/>
        <w:spacing w:after="80" w:line="280" w:lineRule="auto"/>
        <w:ind w:left="720" w:hanging="360"/>
      </w:pPr>
      <w:r>
        <w:rPr>
          <w:rFonts w:ascii="Calibri" w:hAnsi="Calibri"/>
          <w:color w:val="1F2937"/>
          <w:sz w:val="22"/>
        </w:rPr>
        <w:t>Agent profile, biography, photograph, service areas, and contact methods.</w:t>
      </w:r>
    </w:p>
    <w:p>
      <w:pPr>
        <w:pStyle w:val="ListBullet"/>
        <w:spacing w:after="80" w:line="280" w:lineRule="auto"/>
        <w:ind w:left="720" w:hanging="360"/>
      </w:pPr>
      <w:r>
        <w:rPr>
          <w:rFonts w:ascii="Calibri" w:hAnsi="Calibri"/>
          <w:color w:val="1F2937"/>
          <w:sz w:val="22"/>
        </w:rPr>
        <w:t>Agent branding, social links, and website preferences.</w:t>
      </w:r>
    </w:p>
    <w:p>
      <w:pPr>
        <w:pStyle w:val="ListBullet"/>
        <w:spacing w:after="80" w:line="280" w:lineRule="auto"/>
        <w:ind w:left="720" w:hanging="360"/>
      </w:pPr>
      <w:r>
        <w:rPr>
          <w:rFonts w:ascii="Calibri" w:hAnsi="Calibri"/>
          <w:color w:val="1F2937"/>
          <w:sz w:val="22"/>
        </w:rPr>
        <w:t>Agent's assigned approved public listings.</w:t>
      </w:r>
    </w:p>
    <w:p>
      <w:pPr>
        <w:pStyle w:val="ListBullet"/>
        <w:spacing w:after="80" w:line="280" w:lineRule="auto"/>
        <w:ind w:left="720" w:hanging="360"/>
      </w:pPr>
      <w:r>
        <w:rPr>
          <w:rFonts w:ascii="Calibri" w:hAnsi="Calibri"/>
          <w:color w:val="1F2937"/>
          <w:sz w:val="22"/>
        </w:rPr>
        <w:t>Listings shared with the agent for advertising.</w:t>
      </w:r>
    </w:p>
    <w:p>
      <w:pPr>
        <w:pStyle w:val="ListBullet"/>
        <w:spacing w:after="80" w:line="280" w:lineRule="auto"/>
        <w:ind w:left="720" w:hanging="360"/>
      </w:pPr>
      <w:r>
        <w:rPr>
          <w:rFonts w:ascii="Calibri" w:hAnsi="Calibri"/>
          <w:color w:val="1F2937"/>
          <w:sz w:val="22"/>
        </w:rPr>
        <w:t>Search, filtering, map display, and featured listings.</w:t>
      </w:r>
    </w:p>
    <w:p>
      <w:pPr>
        <w:pStyle w:val="ListBullet"/>
        <w:spacing w:after="80" w:line="280" w:lineRule="auto"/>
        <w:ind w:left="720" w:hanging="360"/>
      </w:pPr>
      <w:r>
        <w:rPr>
          <w:rFonts w:ascii="Calibri" w:hAnsi="Calibri"/>
          <w:color w:val="1F2937"/>
          <w:sz w:val="22"/>
        </w:rPr>
        <w:t>Both displaying-agent and listing-owner contacts on shared listing pages.</w:t>
      </w:r>
    </w:p>
    <w:p>
      <w:pPr>
        <w:pStyle w:val="Heading1"/>
        <w:keepNext/>
      </w:pPr>
      <w:r>
        <w:t>11. Brokerage website</w:t>
      </w:r>
    </w:p>
    <w:p>
      <w:r>
        <w:rPr>
          <w:rFonts w:ascii="Calibri" w:hAnsi="Calibri"/>
          <w:color w:val="1F2937"/>
          <w:sz w:val="22"/>
        </w:rPr>
        <w:t>Every brokerage receives a branded public website showing all approved public listings it owns and all active agents it chooses to display.</w:t>
      </w:r>
    </w:p>
    <w:p>
      <w:pPr>
        <w:pStyle w:val="ListBullet"/>
        <w:spacing w:after="80" w:line="280" w:lineRule="auto"/>
        <w:ind w:left="720" w:hanging="360"/>
      </w:pPr>
      <w:r>
        <w:rPr>
          <w:rFonts w:ascii="Calibri" w:hAnsi="Calibri"/>
          <w:color w:val="1F2937"/>
          <w:sz w:val="22"/>
        </w:rPr>
        <w:t>Brokerage name, logo, description, branding, locations, and social links.</w:t>
      </w:r>
    </w:p>
    <w:p>
      <w:pPr>
        <w:pStyle w:val="ListBullet"/>
        <w:spacing w:after="80" w:line="280" w:lineRule="auto"/>
        <w:ind w:left="720" w:hanging="360"/>
      </w:pPr>
      <w:r>
        <w:rPr>
          <w:rFonts w:ascii="Calibri" w:hAnsi="Calibri"/>
          <w:color w:val="1F2937"/>
          <w:sz w:val="22"/>
        </w:rPr>
        <w:t>All approved public listings owned by the brokerage and assigned to active representatives.</w:t>
      </w:r>
    </w:p>
    <w:p>
      <w:pPr>
        <w:pStyle w:val="ListBullet"/>
        <w:spacing w:after="80" w:line="280" w:lineRule="auto"/>
        <w:ind w:left="720" w:hanging="360"/>
      </w:pPr>
      <w:r>
        <w:rPr>
          <w:rFonts w:ascii="Calibri" w:hAnsi="Calibri"/>
          <w:color w:val="1F2937"/>
          <w:sz w:val="22"/>
        </w:rPr>
        <w:t>Search, filters, list view, clustered map, and featured listings.</w:t>
      </w:r>
    </w:p>
    <w:p>
      <w:pPr>
        <w:pStyle w:val="ListBullet"/>
        <w:spacing w:after="80" w:line="280" w:lineRule="auto"/>
        <w:ind w:left="720" w:hanging="360"/>
      </w:pPr>
      <w:r>
        <w:rPr>
          <w:rFonts w:ascii="Calibri" w:hAnsi="Calibri"/>
          <w:color w:val="1F2937"/>
          <w:sz w:val="22"/>
        </w:rPr>
        <w:t>Agent directory and links to individual agent websites.</w:t>
      </w:r>
    </w:p>
    <w:p>
      <w:pPr>
        <w:pStyle w:val="ListBullet"/>
        <w:spacing w:after="80" w:line="280" w:lineRule="auto"/>
        <w:ind w:left="720" w:hanging="360"/>
      </w:pPr>
      <w:r>
        <w:rPr>
          <w:rFonts w:ascii="Calibri" w:hAnsi="Calibri"/>
          <w:color w:val="1F2937"/>
          <w:sz w:val="22"/>
        </w:rPr>
        <w:t>Property inquiries directed to agents rather than the brokerage.</w:t>
      </w:r>
    </w:p>
    <w:p>
      <w:pPr>
        <w:pStyle w:val="ListBullet"/>
        <w:spacing w:after="80" w:line="280" w:lineRule="auto"/>
        <w:ind w:left="720" w:hanging="360"/>
      </w:pPr>
      <w:r>
        <w:rPr>
          <w:rFonts w:ascii="Calibri" w:hAnsi="Calibri"/>
          <w:color w:val="1F2937"/>
          <w:sz w:val="22"/>
        </w:rPr>
        <w:t>No shared third-party listings unless the brokerage itself owns them.</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EF5FA"/>
          </w:tcPr>
          <w:p>
            <w:pPr>
              <w:spacing w:after="0"/>
            </w:pPr>
            <w:r>
              <w:rPr>
                <w:rFonts w:ascii="Calibri" w:hAnsi="Calibri"/>
                <w:b/>
                <w:color w:val="1F4E78"/>
                <w:sz w:val="22"/>
              </w:rPr>
              <w:t xml:space="preserve">Consumer contact rule: </w:t>
            </w:r>
            <w:r>
              <w:rPr>
                <w:rFonts w:ascii="Calibri" w:hAnsi="Calibri"/>
                <w:color w:val="1F2937"/>
                <w:sz w:val="22"/>
              </w:rPr>
              <w:t>The brokerage provides trust and attribution, but the primary action is Contact Agent or Find an Agent. There is no Contact Brokerage action on property pages.</w:t>
            </w:r>
          </w:p>
        </w:tc>
      </w:tr>
    </w:tbl>
    <w:p>
      <w:pPr>
        <w:spacing w:after="0" w:line="20" w:lineRule="exact"/>
      </w:pPr>
    </w:p>
    <w:p>
      <w:pPr>
        <w:pStyle w:val="Heading1"/>
        <w:keepNext/>
      </w:pPr>
      <w:r>
        <w:t>12. Secure application workspaces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D9EAF7"/>
            <w:tcMar>
              <w:top w:w="100" w:type="dxa"/>
              <w:start w:w="120" w:type="dxa"/>
              <w:bottom w:w="100" w:type="dxa"/>
              <w:end w:w="120" w:type="dxa"/>
            </w:tcMar>
            <w:vAlign w:val="center"/>
          </w:tcPr>
          <w:p>
            <w:pPr>
              <w:spacing w:after="0"/>
              <w:jc w:val="left"/>
            </w:pPr>
            <w:r>
              <w:rPr>
                <w:rFonts w:ascii="Calibri" w:hAnsi="Calibri"/>
                <w:b/>
                <w:color w:val="17365D"/>
                <w:sz w:val="19"/>
              </w:rPr>
              <w:t>Workspace</w:t>
            </w:r>
          </w:p>
        </w:tc>
        <w:tc>
          <w:tcPr>
            <w:tcW w:type="dxa" w:w="7260"/>
            <w:shd w:fill="D9EAF7"/>
            <w:tcMar>
              <w:top w:w="100" w:type="dxa"/>
              <w:start w:w="120" w:type="dxa"/>
              <w:bottom w:w="100" w:type="dxa"/>
              <w:end w:w="120" w:type="dxa"/>
            </w:tcMar>
            <w:vAlign w:val="center"/>
          </w:tcPr>
          <w:p>
            <w:pPr>
              <w:spacing w:after="0"/>
              <w:jc w:val="left"/>
            </w:pPr>
            <w:r>
              <w:rPr>
                <w:rFonts w:ascii="Calibri" w:hAnsi="Calibri"/>
                <w:b/>
                <w:color w:val="17365D"/>
                <w:sz w:val="19"/>
              </w:rPr>
              <w:t>Primary capabilities</w:t>
            </w:r>
          </w:p>
        </w:tc>
      </w:tr>
      <w:tr>
        <w:tc>
          <w:tcPr>
            <w:tcW w:type="dxa" w:w="2100"/>
            <w:tcMar>
              <w:top w:w="100" w:type="dxa"/>
              <w:start w:w="120" w:type="dxa"/>
              <w:bottom w:w="100" w:type="dxa"/>
              <w:end w:w="120" w:type="dxa"/>
            </w:tcMar>
            <w:vAlign w:val="center"/>
          </w:tcPr>
          <w:p>
            <w:pPr>
              <w:spacing w:after="0"/>
            </w:pPr>
            <w:r>
              <w:rPr>
                <w:rFonts w:ascii="Calibri" w:hAnsi="Calibri"/>
                <w:color w:val="1F2937"/>
                <w:sz w:val="19"/>
              </w:rPr>
              <w:t>Agent</w:t>
            </w:r>
          </w:p>
        </w:tc>
        <w:tc>
          <w:tcPr>
            <w:tcW w:type="dxa" w:w="7260"/>
            <w:tcMar>
              <w:top w:w="100" w:type="dxa"/>
              <w:start w:w="120" w:type="dxa"/>
              <w:bottom w:w="100" w:type="dxa"/>
              <w:end w:w="120" w:type="dxa"/>
            </w:tcMar>
            <w:vAlign w:val="center"/>
          </w:tcPr>
          <w:p>
            <w:pPr>
              <w:spacing w:after="0"/>
            </w:pPr>
            <w:r>
              <w:rPr>
                <w:rFonts w:ascii="Calibri" w:hAnsi="Calibri"/>
                <w:color w:val="1F2937"/>
                <w:sz w:val="19"/>
              </w:rPr>
              <w:t>Dashboard, create listing, my listings, pending changes, shared listings, website, inquiries, notifications, profile, subscription.</w:t>
            </w:r>
          </w:p>
        </w:tc>
      </w:tr>
      <w:tr>
        <w:tc>
          <w:tcPr>
            <w:tcW w:type="dxa" w:w="2100"/>
            <w:tcMar>
              <w:top w:w="100" w:type="dxa"/>
              <w:start w:w="120" w:type="dxa"/>
              <w:bottom w:w="100" w:type="dxa"/>
              <w:end w:w="120" w:type="dxa"/>
            </w:tcMar>
            <w:vAlign w:val="center"/>
          </w:tcPr>
          <w:p>
            <w:pPr>
              <w:spacing w:after="0"/>
            </w:pPr>
            <w:r>
              <w:rPr>
                <w:rFonts w:ascii="Calibri" w:hAnsi="Calibri"/>
                <w:color w:val="1F2937"/>
                <w:sz w:val="19"/>
              </w:rPr>
              <w:t>Broker staff</w:t>
            </w:r>
          </w:p>
        </w:tc>
        <w:tc>
          <w:tcPr>
            <w:tcW w:type="dxa" w:w="7260"/>
            <w:tcMar>
              <w:top w:w="100" w:type="dxa"/>
              <w:start w:w="120" w:type="dxa"/>
              <w:bottom w:w="100" w:type="dxa"/>
              <w:end w:w="120" w:type="dxa"/>
            </w:tcMar>
            <w:vAlign w:val="center"/>
          </w:tcPr>
          <w:p>
            <w:pPr>
              <w:spacing w:after="0"/>
            </w:pPr>
            <w:r>
              <w:rPr>
                <w:rFonts w:ascii="Calibri" w:hAnsi="Calibri"/>
                <w:color w:val="1F2937"/>
                <w:sz w:val="19"/>
              </w:rPr>
              <w:t>Agent capabilities when applicable, approval queue, agent management, reassignment, portfolio, flags, reports, audit history.</w:t>
            </w:r>
          </w:p>
        </w:tc>
      </w:tr>
      <w:tr>
        <w:tc>
          <w:tcPr>
            <w:tcW w:type="dxa" w:w="2100"/>
            <w:tcMar>
              <w:top w:w="100" w:type="dxa"/>
              <w:start w:w="120" w:type="dxa"/>
              <w:bottom w:w="100" w:type="dxa"/>
              <w:end w:w="120" w:type="dxa"/>
            </w:tcMar>
            <w:vAlign w:val="center"/>
          </w:tcPr>
          <w:p>
            <w:pPr>
              <w:spacing w:after="0"/>
            </w:pPr>
            <w:r>
              <w:rPr>
                <w:rFonts w:ascii="Calibri" w:hAnsi="Calibri"/>
                <w:color w:val="1F2937"/>
                <w:sz w:val="19"/>
              </w:rPr>
              <w:t>Broker</w:t>
            </w:r>
          </w:p>
        </w:tc>
        <w:tc>
          <w:tcPr>
            <w:tcW w:type="dxa" w:w="7260"/>
            <w:tcMar>
              <w:top w:w="100" w:type="dxa"/>
              <w:start w:w="120" w:type="dxa"/>
              <w:bottom w:w="100" w:type="dxa"/>
              <w:end w:w="120" w:type="dxa"/>
            </w:tcMar>
            <w:vAlign w:val="center"/>
          </w:tcPr>
          <w:p>
            <w:pPr>
              <w:spacing w:after="0"/>
            </w:pPr>
            <w:r>
              <w:rPr>
                <w:rFonts w:ascii="Calibri" w:hAnsi="Calibri"/>
                <w:color w:val="1F2937"/>
                <w:sz w:val="19"/>
              </w:rPr>
              <w:t>All staff features plus company profile, staff permissions, agent applications, billing, integrations, brokerage website, full company reporting.</w:t>
            </w:r>
          </w:p>
        </w:tc>
      </w:tr>
      <w:tr>
        <w:tc>
          <w:tcPr>
            <w:tcW w:type="dxa" w:w="2100"/>
            <w:tcMar>
              <w:top w:w="100" w:type="dxa"/>
              <w:start w:w="120" w:type="dxa"/>
              <w:bottom w:w="100" w:type="dxa"/>
              <w:end w:w="120" w:type="dxa"/>
            </w:tcMar>
            <w:vAlign w:val="center"/>
          </w:tcPr>
          <w:p>
            <w:pPr>
              <w:spacing w:after="0"/>
            </w:pPr>
            <w:r>
              <w:rPr>
                <w:rFonts w:ascii="Calibri" w:hAnsi="Calibri"/>
                <w:color w:val="1F2937"/>
                <w:sz w:val="19"/>
              </w:rPr>
              <w:t>SteadFast operations</w:t>
            </w:r>
          </w:p>
        </w:tc>
        <w:tc>
          <w:tcPr>
            <w:tcW w:type="dxa" w:w="7260"/>
            <w:tcMar>
              <w:top w:w="100" w:type="dxa"/>
              <w:start w:w="120" w:type="dxa"/>
              <w:bottom w:w="100" w:type="dxa"/>
              <w:end w:w="120" w:type="dxa"/>
            </w:tcMar>
            <w:vAlign w:val="center"/>
          </w:tcPr>
          <w:p>
            <w:pPr>
              <w:spacing w:after="0"/>
            </w:pPr>
            <w:r>
              <w:rPr>
                <w:rFonts w:ascii="Calibri" w:hAnsi="Calibri"/>
                <w:color w:val="1F2937"/>
                <w:sz w:val="19"/>
              </w:rPr>
              <w:t>Support, billing assistance, account help, technical issues, feed monitoring, flag notification, and response tracking.</w:t>
            </w:r>
          </w:p>
        </w:tc>
      </w:tr>
      <w:tr>
        <w:tc>
          <w:tcPr>
            <w:tcW w:type="dxa" w:w="2100"/>
            <w:tcMar>
              <w:top w:w="100" w:type="dxa"/>
              <w:start w:w="120" w:type="dxa"/>
              <w:bottom w:w="100" w:type="dxa"/>
              <w:end w:w="120" w:type="dxa"/>
            </w:tcMar>
            <w:vAlign w:val="center"/>
          </w:tcPr>
          <w:p>
            <w:pPr>
              <w:spacing w:after="0"/>
            </w:pPr>
            <w:r>
              <w:rPr>
                <w:rFonts w:ascii="Calibri" w:hAnsi="Calibri"/>
                <w:color w:val="1F2937"/>
                <w:sz w:val="19"/>
              </w:rPr>
              <w:t>SteadFast admin</w:t>
            </w:r>
          </w:p>
        </w:tc>
        <w:tc>
          <w:tcPr>
            <w:tcW w:type="dxa" w:w="7260"/>
            <w:tcMar>
              <w:top w:w="100" w:type="dxa"/>
              <w:start w:w="120" w:type="dxa"/>
              <w:bottom w:w="100" w:type="dxa"/>
              <w:end w:w="120" w:type="dxa"/>
            </w:tcMar>
            <w:vAlign w:val="center"/>
          </w:tcPr>
          <w:p>
            <w:pPr>
              <w:spacing w:after="0"/>
            </w:pPr>
            <w:r>
              <w:rPr>
                <w:rFonts w:ascii="Calibri" w:hAnsi="Calibri"/>
                <w:color w:val="1F2937"/>
                <w:sz w:val="19"/>
              </w:rPr>
              <w:t>Internal staff permissions, platform configuration, plans, integrations, security logs, system monitoring, and administrative tools.</w:t>
            </w:r>
          </w:p>
        </w:tc>
      </w:tr>
    </w:tbl>
    <w:p>
      <w:pPr>
        <w:spacing w:after="0"/>
      </w:pPr>
    </w:p>
    <w:p>
      <w:pPr>
        <w:pStyle w:val="Heading1"/>
        <w:keepNext/>
      </w:pPr>
      <w:r>
        <w:t>13. SteadFast operational boundaries</w:t>
      </w:r>
    </w:p>
    <w:p>
      <w:pPr>
        <w:pStyle w:val="ListBullet"/>
        <w:spacing w:after="80" w:line="280" w:lineRule="auto"/>
        <w:ind w:left="720" w:hanging="360"/>
      </w:pPr>
      <w:r>
        <w:rPr>
          <w:rFonts w:ascii="Calibri" w:hAnsi="Calibri"/>
          <w:color w:val="1F2937"/>
          <w:sz w:val="22"/>
        </w:rPr>
        <w:t>SteadFast operations does not approve brokerage listings or material changes.</w:t>
      </w:r>
    </w:p>
    <w:p>
      <w:pPr>
        <w:pStyle w:val="ListBullet"/>
        <w:spacing w:after="80" w:line="280" w:lineRule="auto"/>
        <w:ind w:left="720" w:hanging="360"/>
      </w:pPr>
      <w:r>
        <w:rPr>
          <w:rFonts w:ascii="Calibri" w:hAnsi="Calibri"/>
          <w:color w:val="1F2937"/>
          <w:sz w:val="22"/>
        </w:rPr>
        <w:t>SteadFast does not decide listing, ownership, commission, or agent disputes; these go to the responsible broker.</w:t>
      </w:r>
    </w:p>
    <w:p>
      <w:pPr>
        <w:pStyle w:val="ListBullet"/>
        <w:spacing w:after="80" w:line="280" w:lineRule="auto"/>
        <w:ind w:left="720" w:hanging="360"/>
      </w:pPr>
      <w:r>
        <w:rPr>
          <w:rFonts w:ascii="Calibri" w:hAnsi="Calibri"/>
          <w:color w:val="1F2937"/>
          <w:sz w:val="22"/>
        </w:rPr>
        <w:t>SteadFast may monitor flags, notify the broker, and record whether the broker responded.</w:t>
      </w:r>
    </w:p>
    <w:p>
      <w:pPr>
        <w:pStyle w:val="ListBullet"/>
        <w:spacing w:after="80" w:line="280" w:lineRule="auto"/>
        <w:ind w:left="720" w:hanging="360"/>
      </w:pPr>
      <w:r>
        <w:rPr>
          <w:rFonts w:ascii="Calibri" w:hAnsi="Calibri"/>
          <w:color w:val="1F2937"/>
          <w:sz w:val="22"/>
        </w:rPr>
        <w:t>SteadFast handles system issues, access support, subscription support, integration failures, and platform communications.</w:t>
      </w:r>
    </w:p>
    <w:p>
      <w:pPr>
        <w:pStyle w:val="ListBullet"/>
        <w:spacing w:after="80" w:line="280" w:lineRule="auto"/>
        <w:ind w:left="720" w:hanging="360"/>
      </w:pPr>
      <w:r>
        <w:rPr>
          <w:rFonts w:ascii="Calibri" w:hAnsi="Calibri"/>
          <w:color w:val="1F2937"/>
          <w:sz w:val="22"/>
        </w:rPr>
        <w:t>A narrowly defined emergency legal or security content-control process remains a future policy decision.</w:t>
      </w:r>
    </w:p>
    <w:p>
      <w:pPr>
        <w:pStyle w:val="Heading1"/>
        <w:keepNext/>
      </w:pPr>
      <w:r>
        <w:t>14. Integration and API direction</w:t>
      </w:r>
    </w:p>
    <w:p>
      <w:r>
        <w:rPr>
          <w:rFonts w:ascii="Calibri" w:hAnsi="Calibri"/>
          <w:color w:val="1F2937"/>
          <w:sz w:val="22"/>
        </w:rPr>
        <w:t>SteadFast will maintain its own canonical listing model and an integration layer rather than shaping the database around one external portal.</w:t>
      </w:r>
    </w:p>
    <w:p>
      <w:pPr>
        <w:pStyle w:val="ListBullet"/>
        <w:spacing w:after="80" w:line="280" w:lineRule="auto"/>
        <w:ind w:left="720" w:hanging="360"/>
      </w:pPr>
      <w:r>
        <w:rPr>
          <w:rFonts w:ascii="Calibri" w:hAnsi="Calibri"/>
          <w:color w:val="1F2937"/>
          <w:sz w:val="22"/>
        </w:rPr>
        <w:t>Use RESO-aligned concepts and field mappings where practical.</w:t>
      </w:r>
    </w:p>
    <w:p>
      <w:pPr>
        <w:pStyle w:val="ListBullet"/>
        <w:spacing w:after="80" w:line="280" w:lineRule="auto"/>
        <w:ind w:left="720" w:hanging="360"/>
      </w:pPr>
      <w:r>
        <w:rPr>
          <w:rFonts w:ascii="Calibri" w:hAnsi="Calibri"/>
          <w:color w:val="1F2937"/>
          <w:sz w:val="22"/>
        </w:rPr>
        <w:t>Treat RAJ/MLS and Realtor.com International/Move as governed distribution channels requiring authorization and feed agreements.</w:t>
      </w:r>
    </w:p>
    <w:p>
      <w:pPr>
        <w:pStyle w:val="ListBullet"/>
        <w:spacing w:after="80" w:line="280" w:lineRule="auto"/>
        <w:ind w:left="720" w:hanging="360"/>
      </w:pPr>
      <w:r>
        <w:rPr>
          <w:rFonts w:ascii="Calibri" w:hAnsi="Calibri"/>
          <w:color w:val="1F2937"/>
          <w:sz w:val="22"/>
        </w:rPr>
        <w:t>Track an independent external identifier, eligibility result, validation errors, delivery state, and update history for each channel.</w:t>
      </w:r>
    </w:p>
    <w:p>
      <w:pPr>
        <w:pStyle w:val="ListBullet"/>
        <w:spacing w:after="80" w:line="280" w:lineRule="auto"/>
        <w:ind w:left="720" w:hanging="360"/>
      </w:pPr>
      <w:r>
        <w:rPr>
          <w:rFonts w:ascii="Calibri" w:hAnsi="Calibri"/>
          <w:color w:val="1F2937"/>
          <w:sz w:val="22"/>
        </w:rPr>
        <w:t>Keep external adapters separate so future portals can be added without changing listing ownership and approval logic.</w:t>
      </w:r>
    </w:p>
    <w:p>
      <w:pPr>
        <w:pStyle w:val="ListBullet"/>
        <w:spacing w:after="80" w:line="280" w:lineRule="auto"/>
        <w:ind w:left="720" w:hanging="360"/>
      </w:pPr>
      <w:r>
        <w:rPr>
          <w:rFonts w:ascii="Calibri" w:hAnsi="Calibri"/>
          <w:color w:val="1F2937"/>
          <w:sz w:val="22"/>
        </w:rPr>
        <w:t>Never assume technical feed compatibility grants permission to distribute listings.</w:t>
      </w:r>
    </w:p>
    <w:p>
      <w:pPr>
        <w:pStyle w:val="Heading1"/>
        <w:keepNext/>
      </w:pPr>
      <w:r>
        <w:t>15. Proposed technology architecture</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D9EAF7"/>
            <w:tcMar>
              <w:top w:w="100" w:type="dxa"/>
              <w:start w:w="120" w:type="dxa"/>
              <w:bottom w:w="100" w:type="dxa"/>
              <w:end w:w="120" w:type="dxa"/>
            </w:tcMar>
            <w:vAlign w:val="center"/>
          </w:tcPr>
          <w:p>
            <w:pPr>
              <w:spacing w:after="0"/>
              <w:jc w:val="left"/>
            </w:pPr>
            <w:r>
              <w:rPr>
                <w:rFonts w:ascii="Calibri" w:hAnsi="Calibri"/>
                <w:b/>
                <w:color w:val="17365D"/>
                <w:sz w:val="19"/>
              </w:rPr>
              <w:t>Layer</w:t>
            </w:r>
          </w:p>
        </w:tc>
        <w:tc>
          <w:tcPr>
            <w:tcW w:type="dxa" w:w="3000"/>
            <w:shd w:fill="D9EAF7"/>
            <w:tcMar>
              <w:top w:w="100" w:type="dxa"/>
              <w:start w:w="120" w:type="dxa"/>
              <w:bottom w:w="100" w:type="dxa"/>
              <w:end w:w="120" w:type="dxa"/>
            </w:tcMar>
            <w:vAlign w:val="center"/>
          </w:tcPr>
          <w:p>
            <w:pPr>
              <w:spacing w:after="0"/>
              <w:jc w:val="left"/>
            </w:pPr>
            <w:r>
              <w:rPr>
                <w:rFonts w:ascii="Calibri" w:hAnsi="Calibri"/>
                <w:b/>
                <w:color w:val="17365D"/>
                <w:sz w:val="19"/>
              </w:rPr>
              <w:t>Initial choice</w:t>
            </w:r>
          </w:p>
        </w:tc>
        <w:tc>
          <w:tcPr>
            <w:tcW w:type="dxa" w:w="4560"/>
            <w:shd w:fill="D9EAF7"/>
            <w:tcMar>
              <w:top w:w="100" w:type="dxa"/>
              <w:start w:w="120" w:type="dxa"/>
              <w:bottom w:w="100" w:type="dxa"/>
              <w:end w:w="120" w:type="dxa"/>
            </w:tcMar>
            <w:vAlign w:val="center"/>
          </w:tcPr>
          <w:p>
            <w:pPr>
              <w:spacing w:after="0"/>
              <w:jc w:val="left"/>
            </w:pPr>
            <w:r>
              <w:rPr>
                <w:rFonts w:ascii="Calibri" w:hAnsi="Calibri"/>
                <w:b/>
                <w:color w:val="17365D"/>
                <w:sz w:val="19"/>
              </w:rPr>
              <w:t>Portability approach</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Web application</w:t>
            </w:r>
          </w:p>
        </w:tc>
        <w:tc>
          <w:tcPr>
            <w:tcW w:type="dxa" w:w="3000"/>
            <w:tcMar>
              <w:top w:w="100" w:type="dxa"/>
              <w:start w:w="120" w:type="dxa"/>
              <w:bottom w:w="100" w:type="dxa"/>
              <w:end w:w="120" w:type="dxa"/>
            </w:tcMar>
            <w:vAlign w:val="center"/>
          </w:tcPr>
          <w:p>
            <w:pPr>
              <w:spacing w:after="0"/>
            </w:pPr>
            <w:r>
              <w:rPr>
                <w:rFonts w:ascii="Calibri" w:hAnsi="Calibri"/>
                <w:color w:val="1F2937"/>
                <w:sz w:val="19"/>
              </w:rPr>
              <w:t>Next.js, React, TypeScript</w:t>
            </w:r>
          </w:p>
        </w:tc>
        <w:tc>
          <w:tcPr>
            <w:tcW w:type="dxa" w:w="4560"/>
            <w:tcMar>
              <w:top w:w="100" w:type="dxa"/>
              <w:start w:w="120" w:type="dxa"/>
              <w:bottom w:w="100" w:type="dxa"/>
              <w:end w:w="120" w:type="dxa"/>
            </w:tcMar>
            <w:vAlign w:val="center"/>
          </w:tcPr>
          <w:p>
            <w:pPr>
              <w:spacing w:after="0"/>
            </w:pPr>
            <w:r>
              <w:rPr>
                <w:rFonts w:ascii="Calibri" w:hAnsi="Calibri"/>
                <w:color w:val="1F2937"/>
                <w:sz w:val="19"/>
              </w:rPr>
              <w:t>Run on Vercel, Node.js, or Docker-compatible hosts.</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Database</w:t>
            </w:r>
          </w:p>
        </w:tc>
        <w:tc>
          <w:tcPr>
            <w:tcW w:type="dxa" w:w="3000"/>
            <w:tcMar>
              <w:top w:w="100" w:type="dxa"/>
              <w:start w:w="120" w:type="dxa"/>
              <w:bottom w:w="100" w:type="dxa"/>
              <w:end w:w="120" w:type="dxa"/>
            </w:tcMar>
            <w:vAlign w:val="center"/>
          </w:tcPr>
          <w:p>
            <w:pPr>
              <w:spacing w:after="0"/>
            </w:pPr>
            <w:r>
              <w:rPr>
                <w:rFonts w:ascii="Calibri" w:hAnsi="Calibri"/>
                <w:color w:val="1F2937"/>
                <w:sz w:val="19"/>
              </w:rPr>
              <w:t>Supabase Postgres</w:t>
            </w:r>
          </w:p>
        </w:tc>
        <w:tc>
          <w:tcPr>
            <w:tcW w:type="dxa" w:w="4560"/>
            <w:tcMar>
              <w:top w:w="100" w:type="dxa"/>
              <w:start w:w="120" w:type="dxa"/>
              <w:bottom w:w="100" w:type="dxa"/>
              <w:end w:w="120" w:type="dxa"/>
            </w:tcMar>
            <w:vAlign w:val="center"/>
          </w:tcPr>
          <w:p>
            <w:pPr>
              <w:spacing w:after="0"/>
            </w:pPr>
            <w:r>
              <w:rPr>
                <w:rFonts w:ascii="Calibri" w:hAnsi="Calibri"/>
                <w:color w:val="1F2937"/>
                <w:sz w:val="19"/>
              </w:rPr>
              <w:t>Versioned SQL migrations and standard Postgres data model.</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Authentication</w:t>
            </w:r>
          </w:p>
        </w:tc>
        <w:tc>
          <w:tcPr>
            <w:tcW w:type="dxa" w:w="3000"/>
            <w:tcMar>
              <w:top w:w="100" w:type="dxa"/>
              <w:start w:w="120" w:type="dxa"/>
              <w:bottom w:w="100" w:type="dxa"/>
              <w:end w:w="120" w:type="dxa"/>
            </w:tcMar>
            <w:vAlign w:val="center"/>
          </w:tcPr>
          <w:p>
            <w:pPr>
              <w:spacing w:after="0"/>
            </w:pPr>
            <w:r>
              <w:rPr>
                <w:rFonts w:ascii="Calibri" w:hAnsi="Calibri"/>
                <w:color w:val="1F2937"/>
                <w:sz w:val="19"/>
              </w:rPr>
              <w:t>Supabase Auth</w:t>
            </w:r>
          </w:p>
        </w:tc>
        <w:tc>
          <w:tcPr>
            <w:tcW w:type="dxa" w:w="4560"/>
            <w:tcMar>
              <w:top w:w="100" w:type="dxa"/>
              <w:start w:w="120" w:type="dxa"/>
              <w:bottom w:w="100" w:type="dxa"/>
              <w:end w:w="120" w:type="dxa"/>
            </w:tcMar>
            <w:vAlign w:val="center"/>
          </w:tcPr>
          <w:p>
            <w:pPr>
              <w:spacing w:after="0"/>
            </w:pPr>
            <w:r>
              <w:rPr>
                <w:rFonts w:ascii="Calibri" w:hAnsi="Calibri"/>
                <w:color w:val="1F2937"/>
                <w:sz w:val="19"/>
              </w:rPr>
              <w:t>Isolate provider-specific access behind server-side modules.</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File storage</w:t>
            </w:r>
          </w:p>
        </w:tc>
        <w:tc>
          <w:tcPr>
            <w:tcW w:type="dxa" w:w="3000"/>
            <w:tcMar>
              <w:top w:w="100" w:type="dxa"/>
              <w:start w:w="120" w:type="dxa"/>
              <w:bottom w:w="100" w:type="dxa"/>
              <w:end w:w="120" w:type="dxa"/>
            </w:tcMar>
            <w:vAlign w:val="center"/>
          </w:tcPr>
          <w:p>
            <w:pPr>
              <w:spacing w:after="0"/>
            </w:pPr>
            <w:r>
              <w:rPr>
                <w:rFonts w:ascii="Calibri" w:hAnsi="Calibri"/>
                <w:color w:val="1F2937"/>
                <w:sz w:val="19"/>
              </w:rPr>
              <w:t>Supabase Storage</w:t>
            </w:r>
          </w:p>
        </w:tc>
        <w:tc>
          <w:tcPr>
            <w:tcW w:type="dxa" w:w="4560"/>
            <w:tcMar>
              <w:top w:w="100" w:type="dxa"/>
              <w:start w:w="120" w:type="dxa"/>
              <w:bottom w:w="100" w:type="dxa"/>
              <w:end w:w="120" w:type="dxa"/>
            </w:tcMar>
            <w:vAlign w:val="center"/>
          </w:tcPr>
          <w:p>
            <w:pPr>
              <w:spacing w:after="0"/>
            </w:pPr>
            <w:r>
              <w:rPr>
                <w:rFonts w:ascii="Calibri" w:hAnsi="Calibri"/>
                <w:color w:val="1F2937"/>
                <w:sz w:val="19"/>
              </w:rPr>
              <w:t>Storage adapter for future S3-compatible providers.</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Geospatial</w:t>
            </w:r>
          </w:p>
        </w:tc>
        <w:tc>
          <w:tcPr>
            <w:tcW w:type="dxa" w:w="3000"/>
            <w:tcMar>
              <w:top w:w="100" w:type="dxa"/>
              <w:start w:w="120" w:type="dxa"/>
              <w:bottom w:w="100" w:type="dxa"/>
              <w:end w:w="120" w:type="dxa"/>
            </w:tcMar>
            <w:vAlign w:val="center"/>
          </w:tcPr>
          <w:p>
            <w:pPr>
              <w:spacing w:after="0"/>
            </w:pPr>
            <w:r>
              <w:rPr>
                <w:rFonts w:ascii="Calibri" w:hAnsi="Calibri"/>
                <w:color w:val="1F2937"/>
                <w:sz w:val="19"/>
              </w:rPr>
              <w:t>PostGIS</w:t>
            </w:r>
          </w:p>
        </w:tc>
        <w:tc>
          <w:tcPr>
            <w:tcW w:type="dxa" w:w="4560"/>
            <w:tcMar>
              <w:top w:w="100" w:type="dxa"/>
              <w:start w:w="120" w:type="dxa"/>
              <w:bottom w:w="100" w:type="dxa"/>
              <w:end w:w="120" w:type="dxa"/>
            </w:tcMar>
            <w:vAlign w:val="center"/>
          </w:tcPr>
          <w:p>
            <w:pPr>
              <w:spacing w:after="0"/>
            </w:pPr>
            <w:r>
              <w:rPr>
                <w:rFonts w:ascii="Calibri" w:hAnsi="Calibri"/>
                <w:color w:val="1F2937"/>
                <w:sz w:val="19"/>
              </w:rPr>
              <w:t>Standard Postgres extension for points, bounds, and map queries.</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Deployment</w:t>
            </w:r>
          </w:p>
        </w:tc>
        <w:tc>
          <w:tcPr>
            <w:tcW w:type="dxa" w:w="3000"/>
            <w:tcMar>
              <w:top w:w="100" w:type="dxa"/>
              <w:start w:w="120" w:type="dxa"/>
              <w:bottom w:w="100" w:type="dxa"/>
              <w:end w:w="120" w:type="dxa"/>
            </w:tcMar>
            <w:vAlign w:val="center"/>
          </w:tcPr>
          <w:p>
            <w:pPr>
              <w:spacing w:after="0"/>
            </w:pPr>
            <w:r>
              <w:rPr>
                <w:rFonts w:ascii="Calibri" w:hAnsi="Calibri"/>
                <w:color w:val="1F2937"/>
                <w:sz w:val="19"/>
              </w:rPr>
              <w:t>Vercel previews and staging</w:t>
            </w:r>
          </w:p>
        </w:tc>
        <w:tc>
          <w:tcPr>
            <w:tcW w:type="dxa" w:w="4560"/>
            <w:tcMar>
              <w:top w:w="100" w:type="dxa"/>
              <w:start w:w="120" w:type="dxa"/>
              <w:bottom w:w="100" w:type="dxa"/>
              <w:end w:w="120" w:type="dxa"/>
            </w:tcMar>
            <w:vAlign w:val="center"/>
          </w:tcPr>
          <w:p>
            <w:pPr>
              <w:spacing w:after="0"/>
            </w:pPr>
            <w:r>
              <w:rPr>
                <w:rFonts w:ascii="Calibri" w:hAnsi="Calibri"/>
                <w:color w:val="1F2937"/>
                <w:sz w:val="19"/>
              </w:rPr>
              <w:t>Production-ready Docker/Node configuration maintained.</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Edge and DNS</w:t>
            </w:r>
          </w:p>
        </w:tc>
        <w:tc>
          <w:tcPr>
            <w:tcW w:type="dxa" w:w="3000"/>
            <w:tcMar>
              <w:top w:w="100" w:type="dxa"/>
              <w:start w:w="120" w:type="dxa"/>
              <w:bottom w:w="100" w:type="dxa"/>
              <w:end w:w="120" w:type="dxa"/>
            </w:tcMar>
            <w:vAlign w:val="center"/>
          </w:tcPr>
          <w:p>
            <w:pPr>
              <w:spacing w:after="0"/>
            </w:pPr>
            <w:r>
              <w:rPr>
                <w:rFonts w:ascii="Calibri" w:hAnsi="Calibri"/>
                <w:color w:val="1F2937"/>
                <w:sz w:val="19"/>
              </w:rPr>
              <w:t>Cloudflare when introduced</w:t>
            </w:r>
          </w:p>
        </w:tc>
        <w:tc>
          <w:tcPr>
            <w:tcW w:type="dxa" w:w="4560"/>
            <w:tcMar>
              <w:top w:w="100" w:type="dxa"/>
              <w:start w:w="120" w:type="dxa"/>
              <w:bottom w:w="100" w:type="dxa"/>
              <w:end w:w="120" w:type="dxa"/>
            </w:tcMar>
            <w:vAlign w:val="center"/>
          </w:tcPr>
          <w:p>
            <w:pPr>
              <w:spacing w:after="0"/>
            </w:pPr>
            <w:r>
              <w:rPr>
                <w:rFonts w:ascii="Calibri" w:hAnsi="Calibri"/>
                <w:color w:val="1F2937"/>
                <w:sz w:val="19"/>
              </w:rPr>
              <w:t>DNS, CDN, WAF, and routing kept separate from business logic.</w:t>
            </w:r>
          </w:p>
        </w:tc>
      </w:tr>
    </w:tbl>
    <w:p>
      <w:pPr>
        <w:spacing w:after="0"/>
      </w:pPr>
    </w:p>
    <w:p>
      <w:pPr>
        <w:pStyle w:val="Heading1"/>
        <w:keepNext/>
      </w:pPr>
      <w:r>
        <w:t>16. Environment and deployment model</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rPr>
          <w:tblHeader w:val="true"/>
        </w:trPr>
        <w:tc>
          <w:tcPr>
            <w:tcW w:type="dxa" w:w="1800"/>
            <w:shd w:fill="D9EAF7"/>
            <w:tcMar>
              <w:top w:w="100" w:type="dxa"/>
              <w:start w:w="120" w:type="dxa"/>
              <w:bottom w:w="100" w:type="dxa"/>
              <w:end w:w="120" w:type="dxa"/>
            </w:tcMar>
            <w:vAlign w:val="center"/>
          </w:tcPr>
          <w:p>
            <w:pPr>
              <w:spacing w:after="0"/>
              <w:jc w:val="left"/>
            </w:pPr>
            <w:r>
              <w:rPr>
                <w:rFonts w:ascii="Calibri" w:hAnsi="Calibri"/>
                <w:b/>
                <w:color w:val="17365D"/>
                <w:sz w:val="19"/>
              </w:rPr>
              <w:t>Environment</w:t>
            </w:r>
          </w:p>
        </w:tc>
        <w:tc>
          <w:tcPr>
            <w:tcW w:type="dxa" w:w="3900"/>
            <w:shd w:fill="D9EAF7"/>
            <w:tcMar>
              <w:top w:w="100" w:type="dxa"/>
              <w:start w:w="120" w:type="dxa"/>
              <w:bottom w:w="100" w:type="dxa"/>
              <w:end w:w="120" w:type="dxa"/>
            </w:tcMar>
            <w:vAlign w:val="center"/>
          </w:tcPr>
          <w:p>
            <w:pPr>
              <w:spacing w:after="0"/>
              <w:jc w:val="left"/>
            </w:pPr>
            <w:r>
              <w:rPr>
                <w:rFonts w:ascii="Calibri" w:hAnsi="Calibri"/>
                <w:b/>
                <w:color w:val="17365D"/>
                <w:sz w:val="19"/>
              </w:rPr>
              <w:t>Purpose</w:t>
            </w:r>
          </w:p>
        </w:tc>
        <w:tc>
          <w:tcPr>
            <w:tcW w:type="dxa" w:w="3660"/>
            <w:shd w:fill="D9EAF7"/>
            <w:tcMar>
              <w:top w:w="100" w:type="dxa"/>
              <w:start w:w="120" w:type="dxa"/>
              <w:bottom w:w="100" w:type="dxa"/>
              <w:end w:w="120" w:type="dxa"/>
            </w:tcMar>
            <w:vAlign w:val="center"/>
          </w:tcPr>
          <w:p>
            <w:pPr>
              <w:spacing w:after="0"/>
              <w:jc w:val="left"/>
            </w:pPr>
            <w:r>
              <w:rPr>
                <w:rFonts w:ascii="Calibri" w:hAnsi="Calibri"/>
                <w:b/>
                <w:color w:val="17365D"/>
                <w:sz w:val="19"/>
              </w:rPr>
              <w:t>Data</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Local</w:t>
            </w:r>
          </w:p>
        </w:tc>
        <w:tc>
          <w:tcPr>
            <w:tcW w:type="dxa" w:w="3900"/>
            <w:tcMar>
              <w:top w:w="100" w:type="dxa"/>
              <w:start w:w="120" w:type="dxa"/>
              <w:bottom w:w="100" w:type="dxa"/>
              <w:end w:w="120" w:type="dxa"/>
            </w:tcMar>
            <w:vAlign w:val="center"/>
          </w:tcPr>
          <w:p>
            <w:pPr>
              <w:spacing w:after="0"/>
            </w:pPr>
            <w:r>
              <w:rPr>
                <w:rFonts w:ascii="Calibri" w:hAnsi="Calibri"/>
                <w:color w:val="1F2937"/>
                <w:sz w:val="19"/>
              </w:rPr>
              <w:t>Developer implementation and tests</w:t>
            </w:r>
          </w:p>
        </w:tc>
        <w:tc>
          <w:tcPr>
            <w:tcW w:type="dxa" w:w="3660"/>
            <w:tcMar>
              <w:top w:w="100" w:type="dxa"/>
              <w:start w:w="120" w:type="dxa"/>
              <w:bottom w:w="100" w:type="dxa"/>
              <w:end w:w="120" w:type="dxa"/>
            </w:tcMar>
            <w:vAlign w:val="center"/>
          </w:tcPr>
          <w:p>
            <w:pPr>
              <w:spacing w:after="0"/>
            </w:pPr>
            <w:r>
              <w:rPr>
                <w:rFonts w:ascii="Calibri" w:hAnsi="Calibri"/>
                <w:color w:val="1F2937"/>
                <w:sz w:val="19"/>
              </w:rPr>
              <w:t>Local generated sample data</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Feature preview</w:t>
            </w:r>
          </w:p>
        </w:tc>
        <w:tc>
          <w:tcPr>
            <w:tcW w:type="dxa" w:w="3900"/>
            <w:tcMar>
              <w:top w:w="100" w:type="dxa"/>
              <w:start w:w="120" w:type="dxa"/>
              <w:bottom w:w="100" w:type="dxa"/>
              <w:end w:w="120" w:type="dxa"/>
            </w:tcMar>
            <w:vAlign w:val="center"/>
          </w:tcPr>
          <w:p>
            <w:pPr>
              <w:spacing w:after="0"/>
            </w:pPr>
            <w:r>
              <w:rPr>
                <w:rFonts w:ascii="Calibri" w:hAnsi="Calibri"/>
                <w:color w:val="1F2937"/>
                <w:sz w:val="19"/>
              </w:rPr>
              <w:t>Review each pushed branch or pull request</w:t>
            </w:r>
          </w:p>
        </w:tc>
        <w:tc>
          <w:tcPr>
            <w:tcW w:type="dxa" w:w="3660"/>
            <w:tcMar>
              <w:top w:w="100" w:type="dxa"/>
              <w:start w:w="120" w:type="dxa"/>
              <w:bottom w:w="100" w:type="dxa"/>
              <w:end w:w="120" w:type="dxa"/>
            </w:tcMar>
            <w:vAlign w:val="center"/>
          </w:tcPr>
          <w:p>
            <w:pPr>
              <w:spacing w:after="0"/>
            </w:pPr>
            <w:r>
              <w:rPr>
                <w:rFonts w:ascii="Calibri" w:hAnsi="Calibri"/>
                <w:color w:val="1F2937"/>
                <w:sz w:val="19"/>
              </w:rPr>
              <w:t>Safe preview data; isolated branches when cost-effective</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Client demo / staging</w:t>
            </w:r>
          </w:p>
        </w:tc>
        <w:tc>
          <w:tcPr>
            <w:tcW w:type="dxa" w:w="3900"/>
            <w:tcMar>
              <w:top w:w="100" w:type="dxa"/>
              <w:start w:w="120" w:type="dxa"/>
              <w:bottom w:w="100" w:type="dxa"/>
              <w:end w:w="120" w:type="dxa"/>
            </w:tcMar>
            <w:vAlign w:val="center"/>
          </w:tcPr>
          <w:p>
            <w:pPr>
              <w:spacing w:after="0"/>
            </w:pPr>
            <w:r>
              <w:rPr>
                <w:rFonts w:ascii="Calibri" w:hAnsi="Calibri"/>
                <w:color w:val="1F2937"/>
                <w:sz w:val="19"/>
              </w:rPr>
              <w:t>Stable client demonstration at a permanent address</w:t>
            </w:r>
          </w:p>
        </w:tc>
        <w:tc>
          <w:tcPr>
            <w:tcW w:type="dxa" w:w="3660"/>
            <w:tcMar>
              <w:top w:w="100" w:type="dxa"/>
              <w:start w:w="120" w:type="dxa"/>
              <w:bottom w:w="100" w:type="dxa"/>
              <w:end w:w="120" w:type="dxa"/>
            </w:tcMar>
            <w:vAlign w:val="center"/>
          </w:tcPr>
          <w:p>
            <w:pPr>
              <w:spacing w:after="0"/>
            </w:pPr>
            <w:r>
              <w:rPr>
                <w:rFonts w:ascii="Calibri" w:hAnsi="Calibri"/>
                <w:color w:val="1F2937"/>
                <w:sz w:val="19"/>
              </w:rPr>
              <w:t>Dedicated test data and accounts</w:t>
            </w:r>
          </w:p>
        </w:tc>
      </w:tr>
      <w:tr>
        <w:tc>
          <w:tcPr>
            <w:tcW w:type="dxa" w:w="1800"/>
            <w:tcMar>
              <w:top w:w="100" w:type="dxa"/>
              <w:start w:w="120" w:type="dxa"/>
              <w:bottom w:w="100" w:type="dxa"/>
              <w:end w:w="120" w:type="dxa"/>
            </w:tcMar>
            <w:vAlign w:val="center"/>
          </w:tcPr>
          <w:p>
            <w:pPr>
              <w:spacing w:after="0"/>
            </w:pPr>
            <w:r>
              <w:rPr>
                <w:rFonts w:ascii="Calibri" w:hAnsi="Calibri"/>
                <w:color w:val="1F2937"/>
                <w:sz w:val="19"/>
              </w:rPr>
              <w:t>Production</w:t>
            </w:r>
          </w:p>
        </w:tc>
        <w:tc>
          <w:tcPr>
            <w:tcW w:type="dxa" w:w="3900"/>
            <w:tcMar>
              <w:top w:w="100" w:type="dxa"/>
              <w:start w:w="120" w:type="dxa"/>
              <w:bottom w:w="100" w:type="dxa"/>
              <w:end w:w="120" w:type="dxa"/>
            </w:tcMar>
            <w:vAlign w:val="center"/>
          </w:tcPr>
          <w:p>
            <w:pPr>
              <w:spacing w:after="0"/>
            </w:pPr>
            <w:r>
              <w:rPr>
                <w:rFonts w:ascii="Calibri" w:hAnsi="Calibri"/>
                <w:color w:val="1F2937"/>
                <w:sz w:val="19"/>
              </w:rPr>
              <w:t>Live SteadFast service</w:t>
            </w:r>
          </w:p>
        </w:tc>
        <w:tc>
          <w:tcPr>
            <w:tcW w:type="dxa" w:w="3660"/>
            <w:tcMar>
              <w:top w:w="100" w:type="dxa"/>
              <w:start w:w="120" w:type="dxa"/>
              <w:bottom w:w="100" w:type="dxa"/>
              <w:end w:w="120" w:type="dxa"/>
            </w:tcMar>
            <w:vAlign w:val="center"/>
          </w:tcPr>
          <w:p>
            <w:pPr>
              <w:spacing w:after="0"/>
            </w:pPr>
            <w:r>
              <w:rPr>
                <w:rFonts w:ascii="Calibri" w:hAnsi="Calibri"/>
                <w:color w:val="1F2937"/>
                <w:sz w:val="19"/>
              </w:rPr>
              <w:t>Separate production database, storage, secrets, backups, and users</w:t>
            </w:r>
          </w:p>
        </w:tc>
      </w:tr>
    </w:tbl>
    <w:p>
      <w:pPr>
        <w:spacing w:after="0"/>
      </w:pPr>
    </w:p>
    <w:p>
      <w:r>
        <w:rPr>
          <w:rFonts w:ascii="Calibri" w:hAnsi="Calibri"/>
          <w:color w:val="1F2937"/>
          <w:sz w:val="22"/>
        </w:rPr>
        <w:t>Every committed branch change should produce a preview deployment. Only changes that pass automated checks and review are promoted to the stable client demo. Production deployment will be tied to the protected main branch.</w:t>
      </w:r>
    </w:p>
    <w:p>
      <w:pPr>
        <w:pStyle w:val="Heading1"/>
        <w:keepNext/>
      </w:pPr>
      <w:r>
        <w:t>17. Git and change management</w:t>
      </w:r>
    </w:p>
    <w:p>
      <w:pPr>
        <w:pStyle w:val="ListBullet"/>
        <w:spacing w:after="80" w:line="280" w:lineRule="auto"/>
        <w:ind w:left="720" w:hanging="360"/>
      </w:pPr>
      <w:r>
        <w:rPr>
          <w:rFonts w:ascii="Calibri" w:hAnsi="Calibri"/>
          <w:color w:val="1F2937"/>
          <w:sz w:val="22"/>
        </w:rPr>
        <w:t>Create a private GitHub repository owned by a SteadFast company organization.</w:t>
      </w:r>
    </w:p>
    <w:p>
      <w:pPr>
        <w:pStyle w:val="ListBullet"/>
        <w:spacing w:after="80" w:line="280" w:lineRule="auto"/>
        <w:ind w:left="720" w:hanging="360"/>
      </w:pPr>
      <w:r>
        <w:rPr>
          <w:rFonts w:ascii="Calibri" w:hAnsi="Calibri"/>
          <w:color w:val="1F2937"/>
          <w:sz w:val="22"/>
        </w:rPr>
        <w:t>Use main for production-ready code, staging for the stable client demo, and named branches for features and fixes.</w:t>
      </w:r>
    </w:p>
    <w:p>
      <w:pPr>
        <w:pStyle w:val="ListBullet"/>
        <w:spacing w:after="80" w:line="280" w:lineRule="auto"/>
        <w:ind w:left="720" w:hanging="360"/>
      </w:pPr>
      <w:r>
        <w:rPr>
          <w:rFonts w:ascii="Calibri" w:hAnsi="Calibri"/>
          <w:color w:val="1F2937"/>
          <w:sz w:val="22"/>
        </w:rPr>
        <w:t>Require pull requests and automated checks before merging protected branches.</w:t>
      </w:r>
    </w:p>
    <w:p>
      <w:pPr>
        <w:pStyle w:val="ListBullet"/>
        <w:spacing w:after="80" w:line="280" w:lineRule="auto"/>
        <w:ind w:left="720" w:hanging="360"/>
      </w:pPr>
      <w:r>
        <w:rPr>
          <w:rFonts w:ascii="Calibri" w:hAnsi="Calibri"/>
          <w:color w:val="1F2937"/>
          <w:sz w:val="22"/>
        </w:rPr>
        <w:t>Commit the dependency lockfile and use reproducible dependency installation in automation.</w:t>
      </w:r>
    </w:p>
    <w:p>
      <w:pPr>
        <w:pStyle w:val="ListBullet"/>
        <w:spacing w:after="80" w:line="280" w:lineRule="auto"/>
        <w:ind w:left="720" w:hanging="360"/>
      </w:pPr>
      <w:r>
        <w:rPr>
          <w:rFonts w:ascii="Calibri" w:hAnsi="Calibri"/>
          <w:color w:val="1F2937"/>
          <w:sz w:val="22"/>
        </w:rPr>
        <w:t>Never commit secrets, local environment files, production data, or credentials.</w:t>
      </w:r>
    </w:p>
    <w:p>
      <w:pPr>
        <w:pStyle w:val="ListBullet"/>
        <w:spacing w:after="80" w:line="280" w:lineRule="auto"/>
        <w:ind w:left="720" w:hanging="360"/>
      </w:pPr>
      <w:r>
        <w:rPr>
          <w:rFonts w:ascii="Calibri" w:hAnsi="Calibri"/>
          <w:color w:val="1F2937"/>
          <w:sz w:val="22"/>
        </w:rPr>
        <w:t>Represent every database change through reviewed migration files.</w:t>
      </w:r>
    </w:p>
    <w:p>
      <w:pPr>
        <w:pStyle w:val="ListBullet"/>
        <w:spacing w:after="80" w:line="280" w:lineRule="auto"/>
        <w:ind w:left="720" w:hanging="360"/>
      </w:pPr>
      <w:r>
        <w:rPr>
          <w:rFonts w:ascii="Calibri" w:hAnsi="Calibri"/>
          <w:color w:val="1F2937"/>
          <w:sz w:val="22"/>
        </w:rPr>
        <w:t>Make every deployment traceable to an exact Git commit.</w:t>
      </w:r>
    </w:p>
    <w:p>
      <w:pPr>
        <w:pStyle w:val="Heading1"/>
        <w:keepNext/>
      </w:pPr>
      <w:r>
        <w:t>18. Technical documentation standard</w:t>
      </w:r>
    </w:p>
    <w:p>
      <w:pPr>
        <w:keepNext/>
      </w:pPr>
      <w:r>
        <w:rPr>
          <w:rFonts w:ascii="Calibri" w:hAnsi="Calibri"/>
          <w:color w:val="1F2937"/>
          <w:sz w:val="22"/>
        </w:rPr>
        <w:t>Documentation will live beside the code and be updated as part of feature completion. The repository should include: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D9EAF7"/>
            <w:tcMar>
              <w:top w:w="100" w:type="dxa"/>
              <w:start w:w="120" w:type="dxa"/>
              <w:bottom w:w="100" w:type="dxa"/>
              <w:end w:w="120" w:type="dxa"/>
            </w:tcMar>
            <w:vAlign w:val="center"/>
          </w:tcPr>
          <w:p>
            <w:pPr>
              <w:spacing w:after="0"/>
              <w:jc w:val="left"/>
            </w:pPr>
            <w:r>
              <w:rPr>
                <w:rFonts w:ascii="Calibri" w:hAnsi="Calibri"/>
                <w:b/>
                <w:color w:val="17365D"/>
                <w:sz w:val="19"/>
              </w:rPr>
              <w:t>Documentation area</w:t>
            </w:r>
          </w:p>
        </w:tc>
        <w:tc>
          <w:tcPr>
            <w:tcW w:type="dxa" w:w="6960"/>
            <w:shd w:fill="D9EAF7"/>
            <w:tcMar>
              <w:top w:w="100" w:type="dxa"/>
              <w:start w:w="120" w:type="dxa"/>
              <w:bottom w:w="100" w:type="dxa"/>
              <w:end w:w="120" w:type="dxa"/>
            </w:tcMar>
            <w:vAlign w:val="center"/>
          </w:tcPr>
          <w:p>
            <w:pPr>
              <w:spacing w:after="0"/>
              <w:jc w:val="left"/>
            </w:pPr>
            <w:r>
              <w:rPr>
                <w:rFonts w:ascii="Calibri" w:hAnsi="Calibri"/>
                <w:b/>
                <w:color w:val="17365D"/>
                <w:sz w:val="19"/>
              </w:rPr>
              <w:t>Contents</w:t>
            </w:r>
          </w:p>
        </w:tc>
      </w:tr>
      <w:tr>
        <w:tc>
          <w:tcPr>
            <w:tcW w:type="dxa" w:w="2400"/>
            <w:tcMar>
              <w:top w:w="100" w:type="dxa"/>
              <w:start w:w="120" w:type="dxa"/>
              <w:bottom w:w="100" w:type="dxa"/>
              <w:end w:w="120" w:type="dxa"/>
            </w:tcMar>
            <w:vAlign w:val="center"/>
          </w:tcPr>
          <w:p>
            <w:pPr>
              <w:spacing w:after="0"/>
            </w:pPr>
            <w:r>
              <w:rPr>
                <w:rFonts w:ascii="Calibri" w:hAnsi="Calibri"/>
                <w:color w:val="1F2937"/>
                <w:sz w:val="19"/>
              </w:rPr>
              <w:t>Product</w:t>
            </w:r>
          </w:p>
        </w:tc>
        <w:tc>
          <w:tcPr>
            <w:tcW w:type="dxa" w:w="6960"/>
            <w:tcMar>
              <w:top w:w="100" w:type="dxa"/>
              <w:start w:w="120" w:type="dxa"/>
              <w:bottom w:w="100" w:type="dxa"/>
              <w:end w:w="120" w:type="dxa"/>
            </w:tcMar>
            <w:vAlign w:val="center"/>
          </w:tcPr>
          <w:p>
            <w:pPr>
              <w:spacing w:after="0"/>
            </w:pPr>
            <w:r>
              <w:rPr>
                <w:rFonts w:ascii="Calibri" w:hAnsi="Calibri"/>
                <w:color w:val="1F2937"/>
                <w:sz w:val="19"/>
              </w:rPr>
              <w:t>Requirements, roles, permissions, workflows, and acceptance rules.</w:t>
            </w:r>
          </w:p>
        </w:tc>
      </w:tr>
      <w:tr>
        <w:tc>
          <w:tcPr>
            <w:tcW w:type="dxa" w:w="2400"/>
            <w:tcMar>
              <w:top w:w="100" w:type="dxa"/>
              <w:start w:w="120" w:type="dxa"/>
              <w:bottom w:w="100" w:type="dxa"/>
              <w:end w:w="120" w:type="dxa"/>
            </w:tcMar>
            <w:vAlign w:val="center"/>
          </w:tcPr>
          <w:p>
            <w:pPr>
              <w:spacing w:after="0"/>
            </w:pPr>
            <w:r>
              <w:rPr>
                <w:rFonts w:ascii="Calibri" w:hAnsi="Calibri"/>
                <w:color w:val="1F2937"/>
                <w:sz w:val="19"/>
              </w:rPr>
              <w:t>Architecture</w:t>
            </w:r>
          </w:p>
        </w:tc>
        <w:tc>
          <w:tcPr>
            <w:tcW w:type="dxa" w:w="6960"/>
            <w:tcMar>
              <w:top w:w="100" w:type="dxa"/>
              <w:start w:w="120" w:type="dxa"/>
              <w:bottom w:w="100" w:type="dxa"/>
              <w:end w:w="120" w:type="dxa"/>
            </w:tcMar>
            <w:vAlign w:val="center"/>
          </w:tcPr>
          <w:p>
            <w:pPr>
              <w:spacing w:after="0"/>
            </w:pPr>
            <w:r>
              <w:rPr>
                <w:rFonts w:ascii="Calibri" w:hAnsi="Calibri"/>
                <w:color w:val="1F2937"/>
                <w:sz w:val="19"/>
              </w:rPr>
              <w:t>System overview, data model, multi-tenancy, service boundaries, and architecture decisions.</w:t>
            </w:r>
          </w:p>
        </w:tc>
      </w:tr>
      <w:tr>
        <w:tc>
          <w:tcPr>
            <w:tcW w:type="dxa" w:w="2400"/>
            <w:tcMar>
              <w:top w:w="100" w:type="dxa"/>
              <w:start w:w="120" w:type="dxa"/>
              <w:bottom w:w="100" w:type="dxa"/>
              <w:end w:w="120" w:type="dxa"/>
            </w:tcMar>
            <w:vAlign w:val="center"/>
          </w:tcPr>
          <w:p>
            <w:pPr>
              <w:spacing w:after="0"/>
            </w:pPr>
            <w:r>
              <w:rPr>
                <w:rFonts w:ascii="Calibri" w:hAnsi="Calibri"/>
                <w:color w:val="1F2937"/>
                <w:sz w:val="19"/>
              </w:rPr>
              <w:t>API</w:t>
            </w:r>
          </w:p>
        </w:tc>
        <w:tc>
          <w:tcPr>
            <w:tcW w:type="dxa" w:w="6960"/>
            <w:tcMar>
              <w:top w:w="100" w:type="dxa"/>
              <w:start w:w="120" w:type="dxa"/>
              <w:bottom w:w="100" w:type="dxa"/>
              <w:end w:w="120" w:type="dxa"/>
            </w:tcMar>
            <w:vAlign w:val="center"/>
          </w:tcPr>
          <w:p>
            <w:pPr>
              <w:spacing w:after="0"/>
            </w:pPr>
            <w:r>
              <w:rPr>
                <w:rFonts w:ascii="Calibri" w:hAnsi="Calibri"/>
                <w:color w:val="1F2937"/>
                <w:sz w:val="19"/>
              </w:rPr>
              <w:t>Internal endpoints, external feeds, webhooks, authentication, validation, and examples.</w:t>
            </w:r>
          </w:p>
        </w:tc>
      </w:tr>
      <w:tr>
        <w:tc>
          <w:tcPr>
            <w:tcW w:type="dxa" w:w="2400"/>
            <w:tcMar>
              <w:top w:w="100" w:type="dxa"/>
              <w:start w:w="120" w:type="dxa"/>
              <w:bottom w:w="100" w:type="dxa"/>
              <w:end w:w="120" w:type="dxa"/>
            </w:tcMar>
            <w:vAlign w:val="center"/>
          </w:tcPr>
          <w:p>
            <w:pPr>
              <w:spacing w:after="0"/>
            </w:pPr>
            <w:r>
              <w:rPr>
                <w:rFonts w:ascii="Calibri" w:hAnsi="Calibri"/>
                <w:color w:val="1F2937"/>
                <w:sz w:val="19"/>
              </w:rPr>
              <w:t>Operations</w:t>
            </w:r>
          </w:p>
        </w:tc>
        <w:tc>
          <w:tcPr>
            <w:tcW w:type="dxa" w:w="6960"/>
            <w:tcMar>
              <w:top w:w="100" w:type="dxa"/>
              <w:start w:w="120" w:type="dxa"/>
              <w:bottom w:w="100" w:type="dxa"/>
              <w:end w:w="120" w:type="dxa"/>
            </w:tcMar>
            <w:vAlign w:val="center"/>
          </w:tcPr>
          <w:p>
            <w:pPr>
              <w:spacing w:after="0"/>
            </w:pPr>
            <w:r>
              <w:rPr>
                <w:rFonts w:ascii="Calibri" w:hAnsi="Calibri"/>
                <w:color w:val="1F2937"/>
                <w:sz w:val="19"/>
              </w:rPr>
              <w:t>Local setup, deployment, monitoring, backups, recovery, troubleshooting, and incident handling.</w:t>
            </w:r>
          </w:p>
        </w:tc>
      </w:tr>
      <w:tr>
        <w:tc>
          <w:tcPr>
            <w:tcW w:type="dxa" w:w="2400"/>
            <w:tcMar>
              <w:top w:w="100" w:type="dxa"/>
              <w:start w:w="120" w:type="dxa"/>
              <w:bottom w:w="100" w:type="dxa"/>
              <w:end w:w="120" w:type="dxa"/>
            </w:tcMar>
            <w:vAlign w:val="center"/>
          </w:tcPr>
          <w:p>
            <w:pPr>
              <w:spacing w:after="0"/>
            </w:pPr>
            <w:r>
              <w:rPr>
                <w:rFonts w:ascii="Calibri" w:hAnsi="Calibri"/>
                <w:color w:val="1F2937"/>
                <w:sz w:val="19"/>
              </w:rPr>
              <w:t>Security</w:t>
            </w:r>
          </w:p>
        </w:tc>
        <w:tc>
          <w:tcPr>
            <w:tcW w:type="dxa" w:w="6960"/>
            <w:tcMar>
              <w:top w:w="100" w:type="dxa"/>
              <w:start w:w="120" w:type="dxa"/>
              <w:bottom w:w="100" w:type="dxa"/>
              <w:end w:w="120" w:type="dxa"/>
            </w:tcMar>
            <w:vAlign w:val="center"/>
          </w:tcPr>
          <w:p>
            <w:pPr>
              <w:spacing w:after="0"/>
            </w:pPr>
            <w:r>
              <w:rPr>
                <w:rFonts w:ascii="Calibri" w:hAnsi="Calibri"/>
                <w:color w:val="1F2937"/>
                <w:sz w:val="19"/>
              </w:rPr>
              <w:t>Security model, access control, threat model, audit approach, and incident response.</w:t>
            </w:r>
          </w:p>
        </w:tc>
      </w:tr>
      <w:tr>
        <w:tc>
          <w:tcPr>
            <w:tcW w:type="dxa" w:w="2400"/>
            <w:tcMar>
              <w:top w:w="100" w:type="dxa"/>
              <w:start w:w="120" w:type="dxa"/>
              <w:bottom w:w="100" w:type="dxa"/>
              <w:end w:w="120" w:type="dxa"/>
            </w:tcMar>
            <w:vAlign w:val="center"/>
          </w:tcPr>
          <w:p>
            <w:pPr>
              <w:spacing w:after="0"/>
            </w:pPr>
            <w:r>
              <w:rPr>
                <w:rFonts w:ascii="Calibri" w:hAnsi="Calibri"/>
                <w:color w:val="1F2937"/>
                <w:sz w:val="19"/>
              </w:rPr>
              <w:t>Onboarding</w:t>
            </w:r>
          </w:p>
        </w:tc>
        <w:tc>
          <w:tcPr>
            <w:tcW w:type="dxa" w:w="6960"/>
            <w:tcMar>
              <w:top w:w="100" w:type="dxa"/>
              <w:start w:w="120" w:type="dxa"/>
              <w:bottom w:w="100" w:type="dxa"/>
              <w:end w:w="120" w:type="dxa"/>
            </w:tcMar>
            <w:vAlign w:val="center"/>
          </w:tcPr>
          <w:p>
            <w:pPr>
              <w:spacing w:after="0"/>
            </w:pPr>
            <w:r>
              <w:rPr>
                <w:rFonts w:ascii="Calibri" w:hAnsi="Calibri"/>
                <w:color w:val="1F2937"/>
                <w:sz w:val="19"/>
              </w:rPr>
              <w:t>Developer environment, repository workflow, test data, conventions, and first-day checklist.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spacing w:after="0"/>
            </w:pPr>
            <w:r>
              <w:rPr>
                <w:rFonts w:ascii="Calibri" w:hAnsi="Calibri"/>
                <w:b/>
                <w:color w:val="1F4E78"/>
                <w:sz w:val="22"/>
              </w:rPr>
              <w:t xml:space="preserve">Definition of done: </w:t>
            </w:r>
            <w:r>
              <w:rPr>
                <w:rFonts w:ascii="Calibri" w:hAnsi="Calibri"/>
                <w:color w:val="1F2937"/>
                <w:sz w:val="22"/>
              </w:rPr>
              <w:t>A feature is not complete until its tests, migrations, operational notes, and relevant product or technical documentation have been updated.</w:t>
            </w:r>
          </w:p>
        </w:tc>
      </w:tr>
    </w:tbl>
    <w:p>
      <w:pPr>
        <w:spacing w:after="0"/>
      </w:pPr>
    </w:p>
    <w:p>
      <w:pPr>
        <w:pStyle w:val="Heading1"/>
        <w:keepNext/>
      </w:pPr>
      <w:r>
        <w:t>19. Security baseline</w:t>
      </w:r>
    </w:p>
    <w:p>
      <w:r>
        <w:rPr>
          <w:rFonts w:ascii="Calibri" w:hAnsi="Calibri"/>
          <w:color w:val="1F2937"/>
          <w:sz w:val="22"/>
        </w:rPr>
        <w:t>Security is part of implementation and review from the first commit. The application will follow secure-by-default TypeScript, React, Next.js, and Supabase practices.</w:t>
      </w:r>
    </w:p>
    <w:p>
      <w:pPr>
        <w:pStyle w:val="ListBullet"/>
        <w:spacing w:after="80" w:line="280" w:lineRule="auto"/>
        <w:ind w:left="720" w:hanging="360"/>
      </w:pPr>
      <w:r>
        <w:rPr>
          <w:rFonts w:ascii="Calibri" w:hAnsi="Calibri"/>
          <w:color w:val="1F2937"/>
          <w:sz w:val="22"/>
        </w:rPr>
        <w:t>Enforce authentication and authorization on the server and in database row-level security policies.</w:t>
      </w:r>
    </w:p>
    <w:p>
      <w:pPr>
        <w:pStyle w:val="ListBullet"/>
        <w:spacing w:after="80" w:line="280" w:lineRule="auto"/>
        <w:ind w:left="720" w:hanging="360"/>
      </w:pPr>
      <w:r>
        <w:rPr>
          <w:rFonts w:ascii="Calibri" w:hAnsi="Calibri"/>
          <w:color w:val="1F2937"/>
          <w:sz w:val="22"/>
        </w:rPr>
        <w:t>Use runtime validation for every request, form, file, identifier, and external payload.</w:t>
      </w:r>
    </w:p>
    <w:p>
      <w:pPr>
        <w:pStyle w:val="ListBullet"/>
        <w:spacing w:after="80" w:line="280" w:lineRule="auto"/>
        <w:ind w:left="720" w:hanging="360"/>
      </w:pPr>
      <w:r>
        <w:rPr>
          <w:rFonts w:ascii="Calibri" w:hAnsi="Calibri"/>
          <w:color w:val="1F2937"/>
          <w:sz w:val="22"/>
        </w:rPr>
        <w:t>Keep secret keys server-side; treat all browser-exposed configuration as public.</w:t>
      </w:r>
    </w:p>
    <w:p>
      <w:pPr>
        <w:pStyle w:val="ListBullet"/>
        <w:spacing w:after="80" w:line="280" w:lineRule="auto"/>
        <w:ind w:left="720" w:hanging="360"/>
      </w:pPr>
      <w:r>
        <w:rPr>
          <w:rFonts w:ascii="Calibri" w:hAnsi="Calibri"/>
          <w:color w:val="1F2937"/>
          <w:sz w:val="22"/>
        </w:rPr>
        <w:t>Use explicit database grants, least-privilege policies, and audited administrative paths.</w:t>
      </w:r>
    </w:p>
    <w:p>
      <w:pPr>
        <w:pStyle w:val="ListBullet"/>
        <w:spacing w:after="80" w:line="280" w:lineRule="auto"/>
        <w:ind w:left="720" w:hanging="360"/>
      </w:pPr>
      <w:r>
        <w:rPr>
          <w:rFonts w:ascii="Calibri" w:hAnsi="Calibri"/>
          <w:color w:val="1F2937"/>
          <w:sz w:val="22"/>
        </w:rPr>
        <w:t>Restrict uploads by type, content, size, path, and access; never serve active user content unsafely.</w:t>
      </w:r>
    </w:p>
    <w:p>
      <w:pPr>
        <w:pStyle w:val="ListBullet"/>
        <w:spacing w:after="80" w:line="280" w:lineRule="auto"/>
        <w:ind w:left="720" w:hanging="360"/>
      </w:pPr>
      <w:r>
        <w:rPr>
          <w:rFonts w:ascii="Calibri" w:hAnsi="Calibri"/>
          <w:color w:val="1F2937"/>
          <w:sz w:val="22"/>
        </w:rPr>
        <w:t>Protect login, registration, inquiry, upload, and expensive endpoints with rate and resource limits.</w:t>
      </w:r>
    </w:p>
    <w:p>
      <w:pPr>
        <w:pStyle w:val="ListBullet"/>
        <w:spacing w:after="80" w:line="280" w:lineRule="auto"/>
        <w:ind w:left="720" w:hanging="360"/>
      </w:pPr>
      <w:r>
        <w:rPr>
          <w:rFonts w:ascii="Calibri" w:hAnsi="Calibri"/>
          <w:color w:val="1F2937"/>
          <w:sz w:val="22"/>
        </w:rPr>
        <w:t>Use secure session handling, cross-site request protections, safe redirects, and strict origin validation.</w:t>
      </w:r>
    </w:p>
    <w:p>
      <w:pPr>
        <w:pStyle w:val="ListBullet"/>
        <w:spacing w:after="80" w:line="280" w:lineRule="auto"/>
        <w:ind w:left="720" w:hanging="360"/>
      </w:pPr>
      <w:r>
        <w:rPr>
          <w:rFonts w:ascii="Calibri" w:hAnsi="Calibri"/>
          <w:color w:val="1F2937"/>
          <w:sz w:val="22"/>
        </w:rPr>
        <w:t>Apply browser security headers, including a practical Content Security Policy.</w:t>
      </w:r>
    </w:p>
    <w:p>
      <w:pPr>
        <w:pStyle w:val="ListBullet"/>
        <w:spacing w:after="80" w:line="280" w:lineRule="auto"/>
        <w:ind w:left="720" w:hanging="360"/>
      </w:pPr>
      <w:r>
        <w:rPr>
          <w:rFonts w:ascii="Calibri" w:hAnsi="Calibri"/>
          <w:color w:val="1F2937"/>
          <w:sz w:val="22"/>
        </w:rPr>
        <w:t>Redact secrets and sensitive data from logs and user-facing errors.</w:t>
      </w:r>
    </w:p>
    <w:p>
      <w:pPr>
        <w:pStyle w:val="ListBullet"/>
        <w:spacing w:after="80" w:line="280" w:lineRule="auto"/>
        <w:ind w:left="720" w:hanging="360"/>
      </w:pPr>
      <w:r>
        <w:rPr>
          <w:rFonts w:ascii="Calibri" w:hAnsi="Calibri"/>
          <w:color w:val="1F2937"/>
          <w:sz w:val="22"/>
        </w:rPr>
        <w:t>Pin dependencies, commit lockfiles, scan for vulnerable packages, and promptly apply security updates.</w:t>
      </w:r>
    </w:p>
    <w:p>
      <w:pPr>
        <w:pStyle w:val="ListBullet"/>
        <w:spacing w:after="80" w:line="280" w:lineRule="auto"/>
        <w:ind w:left="720" w:hanging="360"/>
      </w:pPr>
      <w:r>
        <w:rPr>
          <w:rFonts w:ascii="Calibri" w:hAnsi="Calibri"/>
          <w:color w:val="1F2937"/>
          <w:sz w:val="22"/>
        </w:rPr>
        <w:t>Perform a threat model before the external pilot and a formal security audit before production launch.</w:t>
      </w:r>
    </w:p>
    <w:p>
      <w:pPr>
        <w:pStyle w:val="Heading1"/>
        <w:keepNext/>
      </w:pPr>
      <w:r>
        <w:t>20. Delivery phases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D9EAF7"/>
            <w:tcMar>
              <w:top w:w="100" w:type="dxa"/>
              <w:start w:w="120" w:type="dxa"/>
              <w:bottom w:w="100" w:type="dxa"/>
              <w:end w:w="120" w:type="dxa"/>
            </w:tcMar>
            <w:vAlign w:val="center"/>
          </w:tcPr>
          <w:p>
            <w:pPr>
              <w:spacing w:after="0"/>
              <w:jc w:val="left"/>
            </w:pPr>
            <w:r>
              <w:rPr>
                <w:rFonts w:ascii="Calibri" w:hAnsi="Calibri"/>
                <w:b/>
                <w:color w:val="17365D"/>
                <w:sz w:val="19"/>
              </w:rPr>
              <w:t>Phase</w:t>
            </w:r>
          </w:p>
        </w:tc>
        <w:tc>
          <w:tcPr>
            <w:tcW w:type="dxa" w:w="7260"/>
            <w:shd w:fill="D9EAF7"/>
            <w:tcMar>
              <w:top w:w="100" w:type="dxa"/>
              <w:start w:w="120" w:type="dxa"/>
              <w:bottom w:w="100" w:type="dxa"/>
              <w:end w:w="120" w:type="dxa"/>
            </w:tcMar>
            <w:vAlign w:val="center"/>
          </w:tcPr>
          <w:p>
            <w:pPr>
              <w:spacing w:after="0"/>
              <w:jc w:val="left"/>
            </w:pPr>
            <w:r>
              <w:rPr>
                <w:rFonts w:ascii="Calibri" w:hAnsi="Calibri"/>
                <w:b/>
                <w:color w:val="17365D"/>
                <w:sz w:val="19"/>
              </w:rPr>
              <w:t>Outcome</w:t>
            </w:r>
          </w:p>
        </w:tc>
      </w:tr>
      <w:tr>
        <w:tc>
          <w:tcPr>
            <w:tcW w:type="dxa" w:w="2100"/>
            <w:tcMar>
              <w:top w:w="100" w:type="dxa"/>
              <w:start w:w="120" w:type="dxa"/>
              <w:bottom w:w="100" w:type="dxa"/>
              <w:end w:w="120" w:type="dxa"/>
            </w:tcMar>
            <w:vAlign w:val="center"/>
          </w:tcPr>
          <w:p>
            <w:pPr>
              <w:spacing w:after="0"/>
            </w:pPr>
            <w:r>
              <w:rPr>
                <w:rFonts w:ascii="Calibri" w:hAnsi="Calibri"/>
                <w:color w:val="1F2937"/>
                <w:sz w:val="19"/>
              </w:rPr>
              <w:t>1. Foundation</w:t>
            </w:r>
          </w:p>
        </w:tc>
        <w:tc>
          <w:tcPr>
            <w:tcW w:type="dxa" w:w="7260"/>
            <w:tcMar>
              <w:top w:w="100" w:type="dxa"/>
              <w:start w:w="120" w:type="dxa"/>
              <w:bottom w:w="100" w:type="dxa"/>
              <w:end w:w="120" w:type="dxa"/>
            </w:tcMar>
            <w:vAlign w:val="center"/>
          </w:tcPr>
          <w:p>
            <w:pPr>
              <w:spacing w:after="0"/>
            </w:pPr>
            <w:r>
              <w:rPr>
                <w:rFonts w:ascii="Calibri" w:hAnsi="Calibri"/>
                <w:color w:val="1F2937"/>
                <w:sz w:val="19"/>
              </w:rPr>
              <w:t>Repository, environments, authentication, organizations, roles, permissions, audit foundation, and documentation structure.</w:t>
            </w:r>
          </w:p>
        </w:tc>
      </w:tr>
      <w:tr>
        <w:tc>
          <w:tcPr>
            <w:tcW w:type="dxa" w:w="2100"/>
            <w:tcMar>
              <w:top w:w="100" w:type="dxa"/>
              <w:start w:w="120" w:type="dxa"/>
              <w:bottom w:w="100" w:type="dxa"/>
              <w:end w:w="120" w:type="dxa"/>
            </w:tcMar>
            <w:vAlign w:val="center"/>
          </w:tcPr>
          <w:p>
            <w:pPr>
              <w:spacing w:after="0"/>
            </w:pPr>
            <w:r>
              <w:rPr>
                <w:rFonts w:ascii="Calibri" w:hAnsi="Calibri"/>
                <w:color w:val="1F2937"/>
                <w:sz w:val="19"/>
              </w:rPr>
              <w:t>2. Listings</w:t>
            </w:r>
          </w:p>
        </w:tc>
        <w:tc>
          <w:tcPr>
            <w:tcW w:type="dxa" w:w="7260"/>
            <w:tcMar>
              <w:top w:w="100" w:type="dxa"/>
              <w:start w:w="120" w:type="dxa"/>
              <w:bottom w:w="100" w:type="dxa"/>
              <w:end w:w="120" w:type="dxa"/>
            </w:tcMar>
            <w:vAlign w:val="center"/>
          </w:tcPr>
          <w:p>
            <w:pPr>
              <w:spacing w:after="0"/>
            </w:pPr>
            <w:r>
              <w:rPr>
                <w:rFonts w:ascii="Calibri" w:hAnsi="Calibri"/>
                <w:color w:val="1F2937"/>
                <w:sz w:val="19"/>
              </w:rPr>
              <w:t>Property and listing records, media, drafts, approvals, change comparisons, status transitions, and broker ownership.</w:t>
            </w:r>
          </w:p>
        </w:tc>
      </w:tr>
      <w:tr>
        <w:tc>
          <w:tcPr>
            <w:tcW w:type="dxa" w:w="2100"/>
            <w:tcMar>
              <w:top w:w="100" w:type="dxa"/>
              <w:start w:w="120" w:type="dxa"/>
              <w:bottom w:w="100" w:type="dxa"/>
              <w:end w:w="120" w:type="dxa"/>
            </w:tcMar>
            <w:vAlign w:val="center"/>
          </w:tcPr>
          <w:p>
            <w:pPr>
              <w:spacing w:after="0"/>
            </w:pPr>
            <w:r>
              <w:rPr>
                <w:rFonts w:ascii="Calibri" w:hAnsi="Calibri"/>
                <w:color w:val="1F2937"/>
                <w:sz w:val="19"/>
              </w:rPr>
              <w:t>3. Public discovery</w:t>
            </w:r>
          </w:p>
        </w:tc>
        <w:tc>
          <w:tcPr>
            <w:tcW w:type="dxa" w:w="7260"/>
            <w:tcMar>
              <w:top w:w="100" w:type="dxa"/>
              <w:start w:w="120" w:type="dxa"/>
              <w:bottom w:w="100" w:type="dxa"/>
              <w:end w:w="120" w:type="dxa"/>
            </w:tcMar>
            <w:vAlign w:val="center"/>
          </w:tcPr>
          <w:p>
            <w:pPr>
              <w:spacing w:after="0"/>
            </w:pPr>
            <w:r>
              <w:rPr>
                <w:rFonts w:ascii="Calibri" w:hAnsi="Calibri"/>
                <w:color w:val="1F2937"/>
                <w:sz w:val="19"/>
              </w:rPr>
              <w:t>Public search, property pages, map clusters, inquiries, agent profiles, and brokerage profiles.</w:t>
            </w:r>
          </w:p>
        </w:tc>
      </w:tr>
      <w:tr>
        <w:tc>
          <w:tcPr>
            <w:tcW w:type="dxa" w:w="2100"/>
            <w:tcMar>
              <w:top w:w="100" w:type="dxa"/>
              <w:start w:w="120" w:type="dxa"/>
              <w:bottom w:w="100" w:type="dxa"/>
              <w:end w:w="120" w:type="dxa"/>
            </w:tcMar>
            <w:vAlign w:val="center"/>
          </w:tcPr>
          <w:p>
            <w:pPr>
              <w:spacing w:after="0"/>
            </w:pPr>
            <w:r>
              <w:rPr>
                <w:rFonts w:ascii="Calibri" w:hAnsi="Calibri"/>
                <w:color w:val="1F2937"/>
                <w:sz w:val="19"/>
              </w:rPr>
              <w:t>4. Websites and sharing</w:t>
            </w:r>
          </w:p>
        </w:tc>
        <w:tc>
          <w:tcPr>
            <w:tcW w:type="dxa" w:w="7260"/>
            <w:tcMar>
              <w:top w:w="100" w:type="dxa"/>
              <w:start w:w="120" w:type="dxa"/>
              <w:bottom w:w="100" w:type="dxa"/>
              <w:end w:w="120" w:type="dxa"/>
            </w:tcMar>
            <w:vAlign w:val="center"/>
          </w:tcPr>
          <w:p>
            <w:pPr>
              <w:spacing w:after="0"/>
            </w:pPr>
            <w:r>
              <w:rPr>
                <w:rFonts w:ascii="Calibri" w:hAnsi="Calibri"/>
                <w:color w:val="1F2937"/>
                <w:sz w:val="19"/>
              </w:rPr>
              <w:t>Agent and brokerage subdomains, sharing permissions, dual-agent contact selection, and notifications.</w:t>
            </w:r>
          </w:p>
        </w:tc>
      </w:tr>
      <w:tr>
        <w:tc>
          <w:tcPr>
            <w:tcW w:type="dxa" w:w="2100"/>
            <w:tcMar>
              <w:top w:w="100" w:type="dxa"/>
              <w:start w:w="120" w:type="dxa"/>
              <w:bottom w:w="100" w:type="dxa"/>
              <w:end w:w="120" w:type="dxa"/>
            </w:tcMar>
            <w:vAlign w:val="center"/>
          </w:tcPr>
          <w:p>
            <w:pPr>
              <w:spacing w:after="0"/>
            </w:pPr>
            <w:r>
              <w:rPr>
                <w:rFonts w:ascii="Calibri" w:hAnsi="Calibri"/>
                <w:color w:val="1F2937"/>
                <w:sz w:val="19"/>
              </w:rPr>
              <w:t>5. Operations</w:t>
            </w:r>
          </w:p>
        </w:tc>
        <w:tc>
          <w:tcPr>
            <w:tcW w:type="dxa" w:w="7260"/>
            <w:tcMar>
              <w:top w:w="100" w:type="dxa"/>
              <w:start w:w="120" w:type="dxa"/>
              <w:bottom w:w="100" w:type="dxa"/>
              <w:end w:w="120" w:type="dxa"/>
            </w:tcMar>
            <w:vAlign w:val="center"/>
          </w:tcPr>
          <w:p>
            <w:pPr>
              <w:spacing w:after="0"/>
            </w:pPr>
            <w:r>
              <w:rPr>
                <w:rFonts w:ascii="Calibri" w:hAnsi="Calibri"/>
                <w:color w:val="1F2937"/>
                <w:sz w:val="19"/>
              </w:rPr>
              <w:t>SteadFast support, account help, billing-support placeholders, flags, feed monitoring, and administrative controls.</w:t>
            </w:r>
          </w:p>
        </w:tc>
      </w:tr>
      <w:tr>
        <w:tc>
          <w:tcPr>
            <w:tcW w:type="dxa" w:w="2100"/>
            <w:tcMar>
              <w:top w:w="100" w:type="dxa"/>
              <w:start w:w="120" w:type="dxa"/>
              <w:bottom w:w="100" w:type="dxa"/>
              <w:end w:w="120" w:type="dxa"/>
            </w:tcMar>
            <w:vAlign w:val="center"/>
          </w:tcPr>
          <w:p>
            <w:pPr>
              <w:spacing w:after="0"/>
            </w:pPr>
            <w:r>
              <w:rPr>
                <w:rFonts w:ascii="Calibri" w:hAnsi="Calibri"/>
                <w:color w:val="1F2937"/>
                <w:sz w:val="19"/>
              </w:rPr>
              <w:t>6. External distribution</w:t>
            </w:r>
          </w:p>
        </w:tc>
        <w:tc>
          <w:tcPr>
            <w:tcW w:type="dxa" w:w="7260"/>
            <w:tcMar>
              <w:top w:w="100" w:type="dxa"/>
              <w:start w:w="120" w:type="dxa"/>
              <w:bottom w:w="100" w:type="dxa"/>
              <w:end w:w="120" w:type="dxa"/>
            </w:tcMar>
            <w:vAlign w:val="center"/>
          </w:tcPr>
          <w:p>
            <w:pPr>
              <w:spacing w:after="0"/>
            </w:pPr>
            <w:r>
              <w:rPr>
                <w:rFonts w:ascii="Calibri" w:hAnsi="Calibri"/>
                <w:color w:val="1F2937"/>
                <w:sz w:val="19"/>
              </w:rPr>
              <w:t>Authorized RAJ/MLS and Realtor.com International/Move adapters, validation, monitoring, and subscription-tier controls.</w:t>
            </w:r>
          </w:p>
        </w:tc>
      </w:tr>
    </w:tbl>
    <w:p>
      <w:pPr>
        <w:spacing w:after="0"/>
      </w:pPr>
    </w:p>
    <w:p>
      <w:pPr>
        <w:pStyle w:val="Heading1"/>
        <w:keepNext/>
      </w:pPr>
      <w:r>
        <w:t>21. Confirmed decisions</w:t>
      </w:r>
    </w:p>
    <w:p>
      <w:pPr>
        <w:pStyle w:val="ListBullet"/>
        <w:spacing w:after="80" w:line="280" w:lineRule="auto"/>
        <w:ind w:left="720" w:hanging="360"/>
      </w:pPr>
      <w:r>
        <w:rPr>
          <w:rFonts w:ascii="Calibri" w:hAnsi="Calibri"/>
          <w:color w:val="1F2937"/>
          <w:sz w:val="22"/>
        </w:rPr>
        <w:t>SteadFast focuses first on property listing and marketing, not tenant or rental-property operations.</w:t>
      </w:r>
    </w:p>
    <w:p>
      <w:pPr>
        <w:pStyle w:val="ListBullet"/>
        <w:spacing w:after="80" w:line="280" w:lineRule="auto"/>
        <w:ind w:left="720" w:hanging="360"/>
      </w:pPr>
      <w:r>
        <w:rPr>
          <w:rFonts w:ascii="Calibri" w:hAnsi="Calibri"/>
          <w:color w:val="1F2937"/>
          <w:sz w:val="22"/>
        </w:rPr>
        <w:t>Vacation rentals are excluded from the initial scope; residential, long-term rental, commercial, land, and developments are included.</w:t>
      </w:r>
    </w:p>
    <w:p>
      <w:pPr>
        <w:pStyle w:val="ListBullet"/>
        <w:spacing w:after="80" w:line="280" w:lineRule="auto"/>
        <w:ind w:left="720" w:hanging="360"/>
      </w:pPr>
      <w:r>
        <w:rPr>
          <w:rFonts w:ascii="Calibri" w:hAnsi="Calibri"/>
          <w:color w:val="1F2937"/>
          <w:sz w:val="22"/>
        </w:rPr>
        <w:t>Brokerages approve listings and all material changes; SteadFast does not participate in approval or disputes.</w:t>
      </w:r>
    </w:p>
    <w:p>
      <w:pPr>
        <w:pStyle w:val="ListBullet"/>
        <w:spacing w:after="80" w:line="280" w:lineRule="auto"/>
        <w:ind w:left="720" w:hanging="360"/>
      </w:pPr>
      <w:r>
        <w:rPr>
          <w:rFonts w:ascii="Calibri" w:hAnsi="Calibri"/>
          <w:color w:val="1F2937"/>
          <w:sz w:val="22"/>
        </w:rPr>
        <w:t>Brokerages own listings, and each published listing requires an active agent representative.</w:t>
      </w:r>
    </w:p>
    <w:p>
      <w:pPr>
        <w:pStyle w:val="ListBullet"/>
        <w:spacing w:after="80" w:line="280" w:lineRule="auto"/>
        <w:ind w:left="720" w:hanging="360"/>
      </w:pPr>
      <w:r>
        <w:rPr>
          <w:rFonts w:ascii="Calibri" w:hAnsi="Calibri"/>
          <w:color w:val="1F2937"/>
          <w:sz w:val="22"/>
        </w:rPr>
        <w:t>Agent accounts and websites persist when the agent changes brokerages, but former-broker listings are removed from public display.</w:t>
      </w:r>
    </w:p>
    <w:p>
      <w:pPr>
        <w:pStyle w:val="ListBullet"/>
        <w:spacing w:after="80" w:line="280" w:lineRule="auto"/>
        <w:ind w:left="720" w:hanging="360"/>
      </w:pPr>
      <w:r>
        <w:rPr>
          <w:rFonts w:ascii="Calibri" w:hAnsi="Calibri"/>
          <w:color w:val="1F2937"/>
          <w:sz w:val="22"/>
        </w:rPr>
        <w:t>Agent-to-agent sharing requires no broker approval and grants display permission only.</w:t>
      </w:r>
    </w:p>
    <w:p>
      <w:pPr>
        <w:pStyle w:val="ListBullet"/>
        <w:spacing w:after="80" w:line="280" w:lineRule="auto"/>
        <w:ind w:left="720" w:hanging="360"/>
      </w:pPr>
      <w:r>
        <w:rPr>
          <w:rFonts w:ascii="Calibri" w:hAnsi="Calibri"/>
          <w:color w:val="1F2937"/>
          <w:sz w:val="22"/>
        </w:rPr>
        <w:t>Consumers choose between the displaying agent and owner agent on a shared listing; both receive notifications.</w:t>
      </w:r>
    </w:p>
    <w:p>
      <w:pPr>
        <w:pStyle w:val="ListBullet"/>
        <w:spacing w:after="80" w:line="280" w:lineRule="auto"/>
        <w:ind w:left="720" w:hanging="360"/>
      </w:pPr>
      <w:r>
        <w:rPr>
          <w:rFonts w:ascii="Calibri" w:hAnsi="Calibri"/>
          <w:color w:val="1F2937"/>
          <w:sz w:val="22"/>
        </w:rPr>
        <w:t>Brokers, broker staff, and agents may be combined on one account with one subscription payment.</w:t>
      </w:r>
    </w:p>
    <w:p>
      <w:pPr>
        <w:pStyle w:val="ListBullet"/>
        <w:spacing w:after="80" w:line="280" w:lineRule="auto"/>
        <w:ind w:left="720" w:hanging="360"/>
      </w:pPr>
      <w:r>
        <w:rPr>
          <w:rFonts w:ascii="Calibri" w:hAnsi="Calibri"/>
          <w:color w:val="1F2937"/>
          <w:sz w:val="22"/>
        </w:rPr>
        <w:t>Broker staff may approve their own submissions when granted approval permission.</w:t>
      </w:r>
    </w:p>
    <w:p>
      <w:pPr>
        <w:pStyle w:val="ListBullet"/>
        <w:spacing w:after="80" w:line="280" w:lineRule="auto"/>
        <w:ind w:left="720" w:hanging="360"/>
      </w:pPr>
      <w:r>
        <w:rPr>
          <w:rFonts w:ascii="Calibri" w:hAnsi="Calibri"/>
          <w:color w:val="1F2937"/>
          <w:sz w:val="22"/>
        </w:rPr>
        <w:t>Brokerage websites show only approved public listings owned by that brokerage and direct inquiries to agents.</w:t>
      </w:r>
    </w:p>
    <w:p>
      <w:pPr>
        <w:pStyle w:val="ListBullet"/>
        <w:spacing w:after="80" w:line="280" w:lineRule="auto"/>
        <w:ind w:left="720" w:hanging="360"/>
      </w:pPr>
      <w:r>
        <w:rPr>
          <w:rFonts w:ascii="Calibri" w:hAnsi="Calibri"/>
          <w:color w:val="1F2937"/>
          <w:sz w:val="22"/>
        </w:rPr>
        <w:t>The codebase, documentation, migrations, tests, and deployment configuration are maintained in Git.</w:t>
      </w:r>
    </w:p>
    <w:p>
      <w:pPr>
        <w:pStyle w:val="ListBullet"/>
        <w:spacing w:after="80" w:line="280" w:lineRule="auto"/>
        <w:ind w:left="720" w:hanging="360"/>
      </w:pPr>
      <w:r>
        <w:rPr>
          <w:rFonts w:ascii="Calibri" w:hAnsi="Calibri"/>
          <w:color w:val="1F2937"/>
          <w:sz w:val="22"/>
        </w:rPr>
        <w:t>Every committed feature branch should receive a client-viewable preview deployment.</w:t>
      </w:r>
    </w:p>
    <w:p>
      <w:pPr>
        <w:pStyle w:val="Heading1"/>
        <w:keepNext/>
      </w:pPr>
      <w:r>
        <w:t>22. Future decisions</w:t>
      </w:r>
    </w:p>
    <w:p>
      <w:pPr>
        <w:pStyle w:val="ListBullet"/>
        <w:spacing w:after="80" w:line="280" w:lineRule="auto"/>
        <w:ind w:left="720" w:hanging="360"/>
      </w:pPr>
      <w:r>
        <w:rPr>
          <w:rFonts w:ascii="Calibri" w:hAnsi="Calibri"/>
          <w:color w:val="1F2937"/>
          <w:sz w:val="22"/>
        </w:rPr>
        <w:t>Subscription tier names, prices, grace periods, payment methods, and which distribution channels belong to each tier.</w:t>
      </w:r>
    </w:p>
    <w:p>
      <w:pPr>
        <w:pStyle w:val="ListBullet"/>
        <w:spacing w:after="80" w:line="280" w:lineRule="auto"/>
        <w:ind w:left="720" w:hanging="360"/>
      </w:pPr>
      <w:r>
        <w:rPr>
          <w:rFonts w:ascii="Calibri" w:hAnsi="Calibri"/>
          <w:color w:val="1F2937"/>
          <w:sz w:val="22"/>
        </w:rPr>
        <w:t>Exact broker-staff permission presets and whether custom permissions are required at launch.</w:t>
      </w:r>
    </w:p>
    <w:p>
      <w:pPr>
        <w:pStyle w:val="ListBullet"/>
        <w:spacing w:after="80" w:line="280" w:lineRule="auto"/>
        <w:ind w:left="720" w:hanging="360"/>
      </w:pPr>
      <w:r>
        <w:rPr>
          <w:rFonts w:ascii="Calibri" w:hAnsi="Calibri"/>
          <w:color w:val="1F2937"/>
          <w:sz w:val="22"/>
        </w:rPr>
        <w:t>Consumer account timing for favourites, saved searches, and notifications.</w:t>
      </w:r>
    </w:p>
    <w:p>
      <w:pPr>
        <w:pStyle w:val="ListBullet"/>
        <w:spacing w:after="80" w:line="280" w:lineRule="auto"/>
        <w:ind w:left="720" w:hanging="360"/>
      </w:pPr>
      <w:r>
        <w:rPr>
          <w:rFonts w:ascii="Calibri" w:hAnsi="Calibri"/>
          <w:color w:val="1F2937"/>
          <w:sz w:val="22"/>
        </w:rPr>
        <w:t>Listing expiry policy and extension workflow.</w:t>
      </w:r>
    </w:p>
    <w:p>
      <w:pPr>
        <w:pStyle w:val="ListBullet"/>
        <w:spacing w:after="80" w:line="280" w:lineRule="auto"/>
        <w:ind w:left="720" w:hanging="360"/>
      </w:pPr>
      <w:r>
        <w:rPr>
          <w:rFonts w:ascii="Calibri" w:hAnsi="Calibri"/>
          <w:color w:val="1F2937"/>
          <w:sz w:val="22"/>
        </w:rPr>
        <w:t>Email, in-app, SMS, and WhatsApp notification rollout.</w:t>
      </w:r>
    </w:p>
    <w:p>
      <w:pPr>
        <w:pStyle w:val="ListBullet"/>
        <w:spacing w:after="80" w:line="280" w:lineRule="auto"/>
        <w:ind w:left="720" w:hanging="360"/>
      </w:pPr>
      <w:r>
        <w:rPr>
          <w:rFonts w:ascii="Calibri" w:hAnsi="Calibri"/>
          <w:color w:val="1F2937"/>
          <w:sz w:val="22"/>
        </w:rPr>
        <w:t>Emergency legal or security authority for SteadFast administrators to hide content in exceptional circumstances.</w:t>
      </w:r>
    </w:p>
    <w:p>
      <w:pPr>
        <w:pStyle w:val="ListBullet"/>
        <w:spacing w:after="80" w:line="280" w:lineRule="auto"/>
        <w:ind w:left="720" w:hanging="360"/>
      </w:pPr>
      <w:r>
        <w:rPr>
          <w:rFonts w:ascii="Calibri" w:hAnsi="Calibri"/>
          <w:color w:val="1F2937"/>
          <w:sz w:val="22"/>
        </w:rPr>
        <w:t>Permanent SteadFast domain, custom brokerage domains, and launch branding.</w:t>
      </w:r>
    </w:p>
    <w:p>
      <w:pPr>
        <w:pStyle w:val="ListBullet"/>
        <w:spacing w:after="80" w:line="280" w:lineRule="auto"/>
        <w:ind w:left="720" w:hanging="360"/>
      </w:pPr>
      <w:r>
        <w:rPr>
          <w:rFonts w:ascii="Calibri" w:hAnsi="Calibri"/>
          <w:color w:val="1F2937"/>
          <w:sz w:val="22"/>
        </w:rPr>
        <w:t>Formal data-feed agreements and certification requirements for RAJ/MLS and Realtor.com International/Move.</w:t>
      </w:r>
    </w:p>
    <w:p>
      <w:pPr>
        <w:pStyle w:val="ListBullet"/>
        <w:spacing w:after="80" w:line="280" w:lineRule="auto"/>
        <w:ind w:left="720" w:hanging="360"/>
      </w:pPr>
      <w:r>
        <w:rPr>
          <w:rFonts w:ascii="Calibri" w:hAnsi="Calibri"/>
          <w:color w:val="1F2937"/>
          <w:sz w:val="22"/>
        </w:rPr>
        <w:t>Production hosting provider, backup targets, monitoring provider, and service-level objectives.</w:t>
      </w:r>
    </w:p>
    <w:p>
      <w:pPr>
        <w:pStyle w:val="Heading1"/>
        <w:keepNext/>
      </w:pPr>
      <w:r>
        <w:t>23. Initial success criteria</w:t>
      </w:r>
    </w:p>
    <w:p>
      <w:pPr>
        <w:pStyle w:val="ListBullet"/>
        <w:spacing w:after="80" w:line="280" w:lineRule="auto"/>
        <w:ind w:left="720" w:hanging="360"/>
      </w:pPr>
      <w:r>
        <w:rPr>
          <w:rFonts w:ascii="Calibri" w:hAnsi="Calibri"/>
          <w:color w:val="1F2937"/>
          <w:sz w:val="22"/>
        </w:rPr>
        <w:t>A new agent can join one brokerage and create a listing without training.</w:t>
      </w:r>
    </w:p>
    <w:p>
      <w:pPr>
        <w:pStyle w:val="ListBullet"/>
        <w:spacing w:after="80" w:line="280" w:lineRule="auto"/>
        <w:ind w:left="720" w:hanging="360"/>
      </w:pPr>
      <w:r>
        <w:rPr>
          <w:rFonts w:ascii="Calibri" w:hAnsi="Calibri"/>
          <w:color w:val="1F2937"/>
          <w:sz w:val="22"/>
        </w:rPr>
        <w:t>A broker or authorized staff member can review changes, see differences, approve or return them, and inspect the full history.</w:t>
      </w:r>
    </w:p>
    <w:p>
      <w:pPr>
        <w:pStyle w:val="ListBullet"/>
        <w:spacing w:after="80" w:line="280" w:lineRule="auto"/>
        <w:ind w:left="720" w:hanging="360"/>
      </w:pPr>
      <w:r>
        <w:rPr>
          <w:rFonts w:ascii="Calibri" w:hAnsi="Calibri"/>
          <w:color w:val="1F2937"/>
          <w:sz w:val="22"/>
        </w:rPr>
        <w:t>No unapproved or unassigned listing can appear publicly.</w:t>
      </w:r>
    </w:p>
    <w:p>
      <w:pPr>
        <w:pStyle w:val="ListBullet"/>
        <w:spacing w:after="80" w:line="280" w:lineRule="auto"/>
        <w:ind w:left="720" w:hanging="360"/>
      </w:pPr>
      <w:r>
        <w:rPr>
          <w:rFonts w:ascii="Calibri" w:hAnsi="Calibri"/>
          <w:color w:val="1F2937"/>
          <w:sz w:val="22"/>
        </w:rPr>
        <w:t>A public visitor can search Jamaica listings on a map and contact an agent without registering.</w:t>
      </w:r>
    </w:p>
    <w:p>
      <w:pPr>
        <w:pStyle w:val="ListBullet"/>
        <w:spacing w:after="80" w:line="280" w:lineRule="auto"/>
        <w:ind w:left="720" w:hanging="360"/>
      </w:pPr>
      <w:r>
        <w:rPr>
          <w:rFonts w:ascii="Calibri" w:hAnsi="Calibri"/>
          <w:color w:val="1F2937"/>
          <w:sz w:val="22"/>
        </w:rPr>
        <w:t>Agent and brokerage websites automatically reflect approved listing changes and removals.</w:t>
      </w:r>
    </w:p>
    <w:p>
      <w:pPr>
        <w:pStyle w:val="ListBullet"/>
        <w:spacing w:after="80" w:line="280" w:lineRule="auto"/>
        <w:ind w:left="720" w:hanging="360"/>
      </w:pPr>
      <w:r>
        <w:rPr>
          <w:rFonts w:ascii="Calibri" w:hAnsi="Calibri"/>
          <w:color w:val="1F2937"/>
          <w:sz w:val="22"/>
        </w:rPr>
        <w:t>Sharing preserves ownership, prevents recipient editing, presents both agents, and sends the required notifications.</w:t>
      </w:r>
    </w:p>
    <w:p>
      <w:pPr>
        <w:pStyle w:val="ListBullet"/>
        <w:spacing w:after="80" w:line="280" w:lineRule="auto"/>
        <w:ind w:left="720" w:hanging="360"/>
      </w:pPr>
      <w:r>
        <w:rPr>
          <w:rFonts w:ascii="Calibri" w:hAnsi="Calibri"/>
          <w:color w:val="1F2937"/>
          <w:sz w:val="22"/>
        </w:rPr>
        <w:t>Professional data remains isolated between brokerages and protected by server and database authorization.</w:t>
      </w:r>
    </w:p>
    <w:p>
      <w:pPr>
        <w:pStyle w:val="ListBullet"/>
        <w:spacing w:after="80" w:line="280" w:lineRule="auto"/>
        <w:ind w:left="720" w:hanging="360"/>
      </w:pPr>
      <w:r>
        <w:rPr>
          <w:rFonts w:ascii="Calibri" w:hAnsi="Calibri"/>
          <w:color w:val="1F2937"/>
          <w:sz w:val="22"/>
        </w:rPr>
        <w:t>Every release is traceable, deployable, documented, and portable to a standard Node.js or Docker environment.</w:t>
      </w:r>
    </w:p>
    <w:p>
      <w:pPr>
        <w:pStyle w:val="Heading1"/>
        <w:keepNext/>
      </w:pPr>
      <w:r>
        <w:t>24. Reference direction</w:t>
      </w:r>
    </w:p>
    <w:p>
      <w:pPr>
        <w:pStyle w:val="ListBullet"/>
        <w:spacing w:after="80" w:line="280" w:lineRule="auto"/>
        <w:ind w:left="720" w:hanging="360"/>
      </w:pPr>
      <w:r>
        <w:rPr>
          <w:rFonts w:ascii="Calibri" w:hAnsi="Calibri"/>
          <w:color w:val="1F2937"/>
          <w:sz w:val="22"/>
        </w:rPr>
        <w:t>Realtors Association of Jamaica bylaws and MLS policies: https://realtorsjamaica.org/</w:t>
      </w:r>
    </w:p>
    <w:p>
      <w:pPr>
        <w:pStyle w:val="ListBullet"/>
        <w:spacing w:after="80" w:line="280" w:lineRule="auto"/>
        <w:ind w:left="720" w:hanging="360"/>
      </w:pPr>
      <w:r>
        <w:rPr>
          <w:rFonts w:ascii="Calibri" w:hAnsi="Calibri"/>
          <w:color w:val="1F2937"/>
          <w:sz w:val="22"/>
        </w:rPr>
        <w:t>Real Estate Board of Jamaica registration and licensing information: https://reb.gov.jm/</w:t>
      </w:r>
    </w:p>
    <w:p>
      <w:pPr>
        <w:pStyle w:val="ListBullet"/>
        <w:spacing w:after="80" w:line="280" w:lineRule="auto"/>
        <w:ind w:left="720" w:hanging="360"/>
      </w:pPr>
      <w:r>
        <w:rPr>
          <w:rFonts w:ascii="Calibri" w:hAnsi="Calibri"/>
          <w:color w:val="1F2937"/>
          <w:sz w:val="22"/>
        </w:rPr>
        <w:t>Real Estate Standards Organization data standards: https://www.reso.org/</w:t>
      </w:r>
    </w:p>
    <w:p>
      <w:pPr>
        <w:pStyle w:val="ListBullet"/>
        <w:spacing w:after="80" w:line="280" w:lineRule="auto"/>
        <w:ind w:left="720" w:hanging="360"/>
      </w:pPr>
      <w:r>
        <w:rPr>
          <w:rFonts w:ascii="Calibri" w:hAnsi="Calibri"/>
          <w:color w:val="1F2937"/>
          <w:sz w:val="22"/>
        </w:rPr>
        <w:t>Realtor.com / Move listing-feed direction: https://www.move.com/ and https://b2bweb.realtor.com/</w:t>
      </w:r>
    </w:p>
    <w:p>
      <w:pPr>
        <w:pStyle w:val="ListBullet"/>
        <w:spacing w:after="80" w:line="280" w:lineRule="auto"/>
        <w:ind w:left="720" w:hanging="360"/>
      </w:pPr>
      <w:r>
        <w:rPr>
          <w:rFonts w:ascii="Calibri" w:hAnsi="Calibri"/>
          <w:color w:val="1F2937"/>
          <w:sz w:val="22"/>
        </w:rPr>
        <w:t>Vercel Git deployment documentation: https://vercel.com/docs/git</w:t>
      </w:r>
    </w:p>
    <w:p>
      <w:pPr>
        <w:pStyle w:val="ListBullet"/>
        <w:spacing w:after="80" w:line="280" w:lineRule="auto"/>
        <w:ind w:left="720" w:hanging="360"/>
      </w:pPr>
      <w:r>
        <w:rPr>
          <w:rFonts w:ascii="Calibri" w:hAnsi="Calibri"/>
          <w:color w:val="1F2937"/>
          <w:sz w:val="22"/>
        </w:rPr>
        <w:t>Supabase documentation and changelog: https://supabase.com/docs and https://supabase.com/changelog</w:t>
      </w:r>
    </w:p>
    <w:sectPr w:rsidR="00FC693F" w:rsidRPr="0006063C" w:rsidSect="00034616">
      <w:headerReference w:type="default" r:id="rId9"/>
      <w:footerReference w:type="default" r:id="rId10"/>
      <w:pgSz w:w="12240" w:h="15840"/>
      <w:pgMar w:top="1152" w:right="1440" w:bottom="144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Planning Draft  |  Version 0.1  |  Page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STEADFAST  |  PRODUCT &amp; TECHNICAL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SteadFast Product and Technical Plan</dc:title>
  <dc:subject>Product requirements and technical planning baseline</dc:subject>
  <dc:creator>SteadFast</dc:creator>
  <cp:keywords>SteadFast, real estate, listings, broker, agent, SaaS, Jamaica</cp:keywords>
  <dc:description>generated by python-docx</dc:description>
  <cp:lastModifiedBy/>
  <cp:revision>1</cp:revision>
  <dcterms:created xsi:type="dcterms:W3CDTF">2013-12-23T23:15:00Z</dcterms:created>
  <dcterms:modified xsi:type="dcterms:W3CDTF">2013-12-23T23:15:00Z</dcterms:modified>
  <cp:category/>
</cp:coreProperties>
</file>