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p>
    <w:p>
      <w:pPr>
        <w:spacing w:before="0" w:after="240"/>
        <w:jc w:val="center"/>
      </w:pPr>
      <w:r>
        <w:rPr>
          <w:rFonts w:ascii="Arial" w:cs="Arial" w:eastAsia="Arial" w:hAnsi="Arial"/>
          <w:b/>
          <w:bCs/>
          <w:color w:val="1F4E79"/>
          <w:sz w:val="52"/>
          <w:szCs w:val="52"/>
        </w:rPr>
        <w:t xml:space="preserve">Layer 6: Observability</w:t>
      </w:r>
    </w:p>
    <w:p>
      <w:pPr>
        <w:spacing w:before="0" w:after="160"/>
        <w:jc w:val="center"/>
      </w:pPr>
      <w:r>
        <w:rPr>
          <w:rFonts w:ascii="Arial" w:cs="Arial" w:eastAsia="Arial" w:hAnsi="Arial"/>
          <w:color w:val="555555"/>
          <w:sz w:val="28"/>
          <w:szCs w:val="28"/>
        </w:rPr>
        <w:t xml:space="preserve">Pipeline Telemetry, Dashboard &amp; Alerting</w:t>
      </w:r>
    </w:p>
    <w:p>
      <w:pPr>
        <w:pBdr>
          <w:bottom w:val="single" w:color="1F4E79" w:sz="6" w:space="1"/>
        </w:pBdr>
        <w:spacing w:before="80" w:after="80"/>
      </w:pPr>
    </w:p>
    <w:p>
      <w:pPr>
        <w:spacing w:before="160" w:after="0"/>
        <w:jc w:val="center"/>
      </w:pPr>
      <w:r>
        <w:rPr>
          <w:rFonts w:ascii="Arial" w:cs="Arial" w:eastAsia="Arial" w:hAnsi="Arial"/>
          <w:color w:val="555555"/>
          <w:sz w:val="22"/>
          <w:szCs w:val="22"/>
        </w:rPr>
        <w:t xml:space="preserve">Artio Data Pipeline Redesign  |  March 2026</w:t>
      </w:r>
    </w:p>
    <w:p>
      <w:r>
        <w:br w:type="page"/>
      </w:r>
    </w:p>
    <w:p>
      <w:pPr>
        <w:pStyle w:val="Heading1"/>
        <w:spacing w:before="320" w:after="120"/>
      </w:pPr>
      <w:r>
        <w:rPr>
          <w:rFonts w:ascii="Arial" w:cs="Arial" w:eastAsia="Arial" w:hAnsi="Arial"/>
          <w:b/>
          <w:bCs/>
          <w:color w:val="1F4E79"/>
          <w:sz w:val="36"/>
          <w:szCs w:val="36"/>
        </w:rPr>
        <w:t xml:space="preserve">Overview</w:t>
      </w:r>
    </w:p>
    <w:p>
      <w:pPr>
        <w:spacing w:before="60" w:after="60"/>
      </w:pPr>
      <w:r>
        <w:rPr>
          <w:rFonts w:ascii="Arial" w:cs="Arial" w:eastAsia="Arial" w:hAnsi="Arial"/>
          <w:color w:val="1A1A1A"/>
          <w:sz w:val="22"/>
          <w:szCs w:val="22"/>
        </w:rPr>
        <w:t xml:space="preserve">Every pipeline stage emits structured events to a pipeline_telemetry table. This table is the single source of truth for pipeline health, entity trace, cost, and discovery performance. All admin-facing views are queries against this table — no log scraping, no external APM required for core pipeline visibility.</w:t>
      </w:r>
    </w:p>
    <w:p>
      <w:pPr>
        <w:spacing w:before="120" w:after="0"/>
      </w:pPr>
    </w:p>
    <w:p>
      <w:pPr>
        <w:pStyle w:val="Heading1"/>
        <w:spacing w:before="320" w:after="120"/>
      </w:pPr>
      <w:r>
        <w:rPr>
          <w:rFonts w:ascii="Arial" w:cs="Arial" w:eastAsia="Arial" w:hAnsi="Arial"/>
          <w:b/>
          <w:bCs/>
          <w:color w:val="1F4E79"/>
          <w:sz w:val="36"/>
          <w:szCs w:val="36"/>
        </w:rPr>
        <w:t xml:space="preserve">Telemetry Schema</w:t>
      </w:r>
    </w:p>
    <w:p>
      <w:pPr>
        <w:spacing w:before="120" w:after="0"/>
      </w:pPr>
    </w:p>
    <w:p>
      <w:pPr>
        <w:shd w:fill="F4F7FB" w:val="clear"/>
        <w:spacing w:before="60" w:after="60"/>
        <w:ind w:left="720"/>
      </w:pPr>
      <w:r>
        <w:rPr>
          <w:rFonts w:ascii="Courier New" w:cs="Courier New" w:eastAsia="Courier New" w:hAnsi="Courier New"/>
          <w:color w:val="2E5090"/>
          <w:sz w:val="18"/>
          <w:szCs w:val="18"/>
        </w:rPr>
        <w:t xml:space="preserve">CREATE TABLE pipeline_telemetry (</w:t>
      </w:r>
    </w:p>
    <w:p>
      <w:pPr>
        <w:shd w:fill="F4F7FB" w:val="clear"/>
        <w:spacing w:before="60" w:after="60"/>
        <w:ind w:left="720"/>
      </w:pPr>
      <w:r>
        <w:rPr>
          <w:rFonts w:ascii="Courier New" w:cs="Courier New" w:eastAsia="Courier New" w:hAnsi="Courier New"/>
          <w:color w:val="2E5090"/>
          <w:sz w:val="18"/>
          <w:szCs w:val="18"/>
        </w:rPr>
        <w:t xml:space="preserve">  id              UUID PRIMARY KEY DEFAULT gen_random_uuid(),</w:t>
      </w:r>
    </w:p>
    <w:p>
      <w:pPr>
        <w:shd w:fill="F4F7FB" w:val="clear"/>
        <w:spacing w:before="60" w:after="60"/>
        <w:ind w:left="720"/>
      </w:pPr>
      <w:r>
        <w:rPr>
          <w:rFonts w:ascii="Courier New" w:cs="Courier New" w:eastAsia="Courier New" w:hAnsi="Courier New"/>
          <w:color w:val="2E5090"/>
          <w:sz w:val="18"/>
          <w:szCs w:val="18"/>
        </w:rPr>
        <w:t xml:space="preserve">  pipeline_run_id UUID NOT NULL,</w:t>
      </w:r>
    </w:p>
    <w:p>
      <w:pPr>
        <w:shd w:fill="F4F7FB" w:val="clear"/>
        <w:spacing w:before="60" w:after="60"/>
        <w:ind w:left="720"/>
      </w:pPr>
      <w:r>
        <w:rPr>
          <w:rFonts w:ascii="Courier New" w:cs="Courier New" w:eastAsia="Courier New" w:hAnsi="Courier New"/>
          <w:color w:val="2E5090"/>
          <w:sz w:val="18"/>
          <w:szCs w:val="18"/>
        </w:rPr>
        <w:t xml:space="preserve">  stage           TEXT NOT NULL,</w:t>
      </w:r>
    </w:p>
    <w:p>
      <w:pPr>
        <w:shd w:fill="F4F7FB" w:val="clear"/>
        <w:spacing w:before="60" w:after="60"/>
        <w:ind w:left="720"/>
      </w:pPr>
      <w:r>
        <w:rPr>
          <w:rFonts w:ascii="Courier New" w:cs="Courier New" w:eastAsia="Courier New" w:hAnsi="Courier New"/>
          <w:color w:val="2E5090"/>
          <w:sz w:val="18"/>
          <w:szCs w:val="18"/>
        </w:rPr>
        <w:t xml:space="preserve">  entity_id       UUID,</w:t>
      </w:r>
    </w:p>
    <w:p>
      <w:pPr>
        <w:shd w:fill="F4F7FB" w:val="clear"/>
        <w:spacing w:before="60" w:after="60"/>
        <w:ind w:left="720"/>
      </w:pPr>
      <w:r>
        <w:rPr>
          <w:rFonts w:ascii="Courier New" w:cs="Courier New" w:eastAsia="Courier New" w:hAnsi="Courier New"/>
          <w:color w:val="2E5090"/>
          <w:sz w:val="18"/>
          <w:szCs w:val="18"/>
        </w:rPr>
        <w:t xml:space="preserve">  entity_type     TEXT,</w:t>
      </w:r>
    </w:p>
    <w:p>
      <w:pPr>
        <w:shd w:fill="F4F7FB" w:val="clear"/>
        <w:spacing w:before="60" w:after="60"/>
        <w:ind w:left="720"/>
      </w:pPr>
      <w:r>
        <w:rPr>
          <w:rFonts w:ascii="Courier New" w:cs="Courier New" w:eastAsia="Courier New" w:hAnsi="Courier New"/>
          <w:color w:val="2E5090"/>
          <w:sz w:val="18"/>
          <w:szCs w:val="18"/>
        </w:rPr>
        <w:t xml:space="preserve">  venue_id        UUID,</w:t>
      </w:r>
    </w:p>
    <w:p>
      <w:pPr>
        <w:shd w:fill="F4F7FB" w:val="clear"/>
        <w:spacing w:before="60" w:after="60"/>
        <w:ind w:left="720"/>
      </w:pPr>
      <w:r>
        <w:rPr>
          <w:rFonts w:ascii="Courier New" w:cs="Courier New" w:eastAsia="Courier New" w:hAnsi="Courier New"/>
          <w:color w:val="2E5090"/>
          <w:sz w:val="18"/>
          <w:szCs w:val="18"/>
        </w:rPr>
        <w:t xml:space="preserve">  region          TEXT,</w:t>
      </w:r>
    </w:p>
    <w:p>
      <w:pPr>
        <w:shd w:fill="F4F7FB" w:val="clear"/>
        <w:spacing w:before="60" w:after="60"/>
        <w:ind w:left="720"/>
      </w:pPr>
      <w:r>
        <w:rPr>
          <w:rFonts w:ascii="Courier New" w:cs="Courier New" w:eastAsia="Courier New" w:hAnsi="Courier New"/>
          <w:color w:val="2E5090"/>
          <w:sz w:val="18"/>
          <w:szCs w:val="18"/>
        </w:rPr>
        <w:t xml:space="preserve">  status          TEXT NOT NULL,   -- started | completed | skipped | failed</w:t>
      </w:r>
    </w:p>
    <w:p>
      <w:pPr>
        <w:shd w:fill="F4F7FB" w:val="clear"/>
        <w:spacing w:before="60" w:after="60"/>
        <w:ind w:left="720"/>
      </w:pPr>
      <w:r>
        <w:rPr>
          <w:rFonts w:ascii="Courier New" w:cs="Courier New" w:eastAsia="Courier New" w:hAnsi="Courier New"/>
          <w:color w:val="2E5090"/>
          <w:sz w:val="18"/>
          <w:szCs w:val="18"/>
        </w:rPr>
        <w:t xml:space="preserve">  duration_ms     INT,</w:t>
      </w:r>
    </w:p>
    <w:p>
      <w:pPr>
        <w:shd w:fill="F4F7FB" w:val="clear"/>
        <w:spacing w:before="60" w:after="60"/>
        <w:ind w:left="720"/>
      </w:pPr>
      <w:r>
        <w:rPr>
          <w:rFonts w:ascii="Courier New" w:cs="Courier New" w:eastAsia="Courier New" w:hAnsi="Courier New"/>
          <w:color w:val="2E5090"/>
          <w:sz w:val="18"/>
          <w:szCs w:val="18"/>
        </w:rPr>
        <w:t xml:space="preserve">  config_version  TEXT NOT NULL,</w:t>
      </w:r>
    </w:p>
    <w:p>
      <w:pPr>
        <w:shd w:fill="F4F7FB" w:val="clear"/>
        <w:spacing w:before="60" w:after="60"/>
        <w:ind w:left="720"/>
      </w:pPr>
      <w:r>
        <w:rPr>
          <w:rFonts w:ascii="Courier New" w:cs="Courier New" w:eastAsia="Courier New" w:hAnsi="Courier New"/>
          <w:color w:val="2E5090"/>
          <w:sz w:val="18"/>
          <w:szCs w:val="18"/>
        </w:rPr>
        <w:t xml:space="preserve">  metadata        JSONB,           -- stage-specific payload</w:t>
      </w:r>
    </w:p>
    <w:p>
      <w:pPr>
        <w:shd w:fill="F4F7FB" w:val="clear"/>
        <w:spacing w:before="60" w:after="60"/>
        <w:ind w:left="720"/>
      </w:pPr>
      <w:r>
        <w:rPr>
          <w:rFonts w:ascii="Courier New" w:cs="Courier New" w:eastAsia="Courier New" w:hAnsi="Courier New"/>
          <w:color w:val="2E5090"/>
          <w:sz w:val="18"/>
          <w:szCs w:val="18"/>
        </w:rPr>
        <w:t xml:space="preserve">  error_code      TEXT,</w:t>
      </w:r>
    </w:p>
    <w:p>
      <w:pPr>
        <w:shd w:fill="F4F7FB" w:val="clear"/>
        <w:spacing w:before="60" w:after="60"/>
        <w:ind w:left="720"/>
      </w:pPr>
      <w:r>
        <w:rPr>
          <w:rFonts w:ascii="Courier New" w:cs="Courier New" w:eastAsia="Courier New" w:hAnsi="Courier New"/>
          <w:color w:val="2E5090"/>
          <w:sz w:val="18"/>
          <w:szCs w:val="18"/>
        </w:rPr>
        <w:t xml:space="preserve">  error_message   TEXT,</w:t>
      </w:r>
    </w:p>
    <w:p>
      <w:pPr>
        <w:shd w:fill="F4F7FB" w:val="clear"/>
        <w:spacing w:before="60" w:after="60"/>
        <w:ind w:left="720"/>
      </w:pPr>
      <w:r>
        <w:rPr>
          <w:rFonts w:ascii="Courier New" w:cs="Courier New" w:eastAsia="Courier New" w:hAnsi="Courier New"/>
          <w:color w:val="2E5090"/>
          <w:sz w:val="18"/>
          <w:szCs w:val="18"/>
        </w:rPr>
        <w:t xml:space="preserve">  emitted_at      TIMESTAMPTZ NOT NULL DEFAULT now()</w:t>
      </w:r>
    </w:p>
    <w:p>
      <w:pPr>
        <w:shd w:fill="F4F7FB" w:val="clear"/>
        <w:spacing w:before="60" w:after="60"/>
        <w:ind w:left="720"/>
      </w:pPr>
      <w:r>
        <w:rPr>
          <w:rFonts w:ascii="Courier New" w:cs="Courier New" w:eastAsia="Courier New" w:hAnsi="Courier New"/>
          <w:color w:val="2E5090"/>
          <w:sz w:val="18"/>
          <w:szCs w:val="18"/>
        </w:rPr>
        <w:t xml:space="preserve">);</w:t>
      </w:r>
    </w:p>
    <w:p>
      <w:pPr>
        <w:spacing w:before="120" w:after="0"/>
      </w:pPr>
    </w:p>
    <w:p>
      <w:pPr>
        <w:shd w:fill="F4F7FB" w:val="clear"/>
        <w:spacing w:before="60" w:after="60"/>
        <w:ind w:left="720"/>
      </w:pPr>
      <w:r>
        <w:rPr>
          <w:rFonts w:ascii="Courier New" w:cs="Courier New" w:eastAsia="Courier New" w:hAnsi="Courier New"/>
          <w:color w:val="2E5090"/>
          <w:sz w:val="18"/>
          <w:szCs w:val="18"/>
        </w:rPr>
        <w:t xml:space="preserve">CREATE INDEX ON pipeline_telemetry (pipeline_run_id);</w:t>
      </w:r>
    </w:p>
    <w:p>
      <w:pPr>
        <w:shd w:fill="F4F7FB" w:val="clear"/>
        <w:spacing w:before="60" w:after="60"/>
        <w:ind w:left="720"/>
      </w:pPr>
      <w:r>
        <w:rPr>
          <w:rFonts w:ascii="Courier New" w:cs="Courier New" w:eastAsia="Courier New" w:hAnsi="Courier New"/>
          <w:color w:val="2E5090"/>
          <w:sz w:val="18"/>
          <w:szCs w:val="18"/>
        </w:rPr>
        <w:t xml:space="preserve">CREATE INDEX ON pipeline_telemetry (entity_id);</w:t>
      </w:r>
    </w:p>
    <w:p>
      <w:pPr>
        <w:shd w:fill="F4F7FB" w:val="clear"/>
        <w:spacing w:before="60" w:after="60"/>
        <w:ind w:left="720"/>
      </w:pPr>
      <w:r>
        <w:rPr>
          <w:rFonts w:ascii="Courier New" w:cs="Courier New" w:eastAsia="Courier New" w:hAnsi="Courier New"/>
          <w:color w:val="2E5090"/>
          <w:sz w:val="18"/>
          <w:szCs w:val="18"/>
        </w:rPr>
        <w:t xml:space="preserve">CREATE INDEX ON pipeline_telemetry (stage, status, emitted_at);</w:t>
      </w:r>
    </w:p>
    <w:p>
      <w:pPr>
        <w:shd w:fill="F4F7FB" w:val="clear"/>
        <w:spacing w:before="60" w:after="60"/>
        <w:ind w:left="720"/>
      </w:pPr>
      <w:r>
        <w:rPr>
          <w:rFonts w:ascii="Courier New" w:cs="Courier New" w:eastAsia="Courier New" w:hAnsi="Courier New"/>
          <w:color w:val="2E5090"/>
          <w:sz w:val="18"/>
          <w:szCs w:val="18"/>
        </w:rPr>
        <w:t xml:space="preserve">CREATE INDEX ON pipeline_telemetry (region, emitted_at);</w:t>
      </w:r>
    </w:p>
    <w:p>
      <w:pPr>
        <w:spacing w:before="120" w:after="0"/>
      </w:pPr>
    </w:p>
    <w:p>
      <w:pPr>
        <w:pStyle w:val="Heading2"/>
        <w:spacing w:before="240" w:after="80"/>
      </w:pPr>
      <w:r>
        <w:rPr>
          <w:rFonts w:ascii="Arial" w:cs="Arial" w:eastAsia="Arial" w:hAnsi="Arial"/>
          <w:b/>
          <w:bCs/>
          <w:color w:val="1F4E79"/>
          <w:sz w:val="28"/>
          <w:szCs w:val="28"/>
        </w:rPr>
        <w:t xml:space="preserve">Stage-specific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756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metadata fields</w:t>
            </w:r>
          </w:p>
        </w:tc>
      </w:tr>
      <w:tr>
        <w:tc>
          <w:tcPr>
            <w:tcW w:type="dxa" w:w="18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top"/>
          </w:tcPr>
          <w:p>
            <w:r>
              <w:rPr>
                <w:rFonts w:ascii="Arial" w:cs="Arial" w:eastAsia="Arial" w:hAnsi="Arial"/>
                <w:color w:val="1A1A1A"/>
                <w:sz w:val="20"/>
                <w:szCs w:val="20"/>
              </w:rPr>
              <w:t xml:space="preserve">fetch</w:t>
            </w:r>
          </w:p>
        </w:tc>
        <w:tc>
          <w:tcPr>
            <w:tcW w:type="dxa" w:w="756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top"/>
          </w:tcPr>
          <w:p>
            <w:r>
              <w:rPr>
                <w:rFonts w:ascii="Arial" w:cs="Arial" w:eastAsia="Arial" w:hAnsi="Arial"/>
                <w:color w:val="1A1A1A"/>
                <w:sz w:val="20"/>
                <w:szCs w:val="20"/>
              </w:rPr>
              <w:t xml:space="preserve">status_code, byte_count, content_type, final_url, duration_ms</w:t>
            </w:r>
          </w:p>
        </w:tc>
      </w:tr>
      <w:tr>
        <w:tc>
          <w:tcPr>
            <w:tcW w:type="dxa" w:w="1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r>
              <w:rPr>
                <w:rFonts w:ascii="Arial" w:cs="Arial" w:eastAsia="Arial" w:hAnsi="Arial"/>
                <w:color w:val="1A1A1A"/>
                <w:sz w:val="20"/>
                <w:szCs w:val="20"/>
              </w:rPr>
              <w:t xml:space="preserve">extract</w:t>
            </w:r>
          </w:p>
        </w:tc>
        <w:tc>
          <w:tcPr>
            <w:tcW w:type="dxa" w:w="75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r>
              <w:rPr>
                <w:rFonts w:ascii="Arial" w:cs="Arial" w:eastAsia="Arial" w:hAnsi="Arial"/>
                <w:color w:val="1A1A1A"/>
                <w:sz w:val="20"/>
                <w:szCs w:val="20"/>
              </w:rPr>
              <w:t xml:space="preserve">method, model_version, event_count, token_usage.input, token_usage.output, token_usage.cost_usd</w:t>
            </w:r>
          </w:p>
        </w:tc>
      </w:tr>
      <w:tr>
        <w:tc>
          <w:tcPr>
            <w:tcW w:type="dxa" w:w="18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top"/>
          </w:tcPr>
          <w:p>
            <w:r>
              <w:rPr>
                <w:rFonts w:ascii="Arial" w:cs="Arial" w:eastAsia="Arial" w:hAnsi="Arial"/>
                <w:color w:val="1A1A1A"/>
                <w:sz w:val="20"/>
                <w:szCs w:val="20"/>
              </w:rPr>
              <w:t xml:space="preserve">score</w:t>
            </w:r>
          </w:p>
        </w:tc>
        <w:tc>
          <w:tcPr>
            <w:tcW w:type="dxa" w:w="756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top"/>
          </w:tcPr>
          <w:p>
            <w:r>
              <w:rPr>
                <w:rFonts w:ascii="Arial" w:cs="Arial" w:eastAsia="Arial" w:hAnsi="Arial"/>
                <w:color w:val="1A1A1A"/>
                <w:sz w:val="20"/>
                <w:szCs w:val="20"/>
              </w:rPr>
              <w:t xml:space="preserve">model_version, score, band, signal_vector, is_shadow</w:t>
            </w:r>
          </w:p>
        </w:tc>
      </w:tr>
      <w:tr>
        <w:tc>
          <w:tcPr>
            <w:tcW w:type="dxa" w:w="1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r>
              <w:rPr>
                <w:rFonts w:ascii="Arial" w:cs="Arial" w:eastAsia="Arial" w:hAnsi="Arial"/>
                <w:color w:val="1A1A1A"/>
                <w:sz w:val="20"/>
                <w:szCs w:val="20"/>
              </w:rPr>
              <w:t xml:space="preserve">deduplicate</w:t>
            </w:r>
          </w:p>
        </w:tc>
        <w:tc>
          <w:tcPr>
            <w:tcW w:type="dxa" w:w="75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r>
              <w:rPr>
                <w:rFonts w:ascii="Arial" w:cs="Arial" w:eastAsia="Arial" w:hAnsi="Arial"/>
                <w:color w:val="1A1A1A"/>
                <w:sz w:val="20"/>
                <w:szCs w:val="20"/>
              </w:rPr>
              <w:t xml:space="preserve">pass, match_method, duplicate_of_id, cluster_key</w:t>
            </w:r>
          </w:p>
        </w:tc>
      </w:tr>
      <w:tr>
        <w:tc>
          <w:tcPr>
            <w:tcW w:type="dxa" w:w="18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top"/>
          </w:tcPr>
          <w:p>
            <w:r>
              <w:rPr>
                <w:rFonts w:ascii="Arial" w:cs="Arial" w:eastAsia="Arial" w:hAnsi="Arial"/>
                <w:color w:val="1A1A1A"/>
                <w:sz w:val="20"/>
                <w:szCs w:val="20"/>
              </w:rPr>
              <w:t xml:space="preserve">enrich</w:t>
            </w:r>
          </w:p>
        </w:tc>
        <w:tc>
          <w:tcPr>
            <w:tcW w:type="dxa" w:w="756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top"/>
          </w:tcPr>
          <w:p>
            <w:r>
              <w:rPr>
                <w:rFonts w:ascii="Arial" w:cs="Arial" w:eastAsia="Arial" w:hAnsi="Arial"/>
                <w:color w:val="1A1A1A"/>
                <w:sz w:val="20"/>
                <w:szCs w:val="20"/>
              </w:rPr>
              <w:t xml:space="preserve">template, fields_changed, confidence_delta, search_url</w:t>
            </w:r>
          </w:p>
        </w:tc>
      </w:tr>
      <w:tr>
        <w:tc>
          <w:tcPr>
            <w:tcW w:type="dxa" w:w="1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r>
              <w:rPr>
                <w:rFonts w:ascii="Arial" w:cs="Arial" w:eastAsia="Arial" w:hAnsi="Arial"/>
                <w:color w:val="1A1A1A"/>
                <w:sz w:val="20"/>
                <w:szCs w:val="20"/>
              </w:rPr>
              <w:t xml:space="preserve">export</w:t>
            </w:r>
          </w:p>
        </w:tc>
        <w:tc>
          <w:tcPr>
            <w:tcW w:type="dxa" w:w="75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r>
              <w:rPr>
                <w:rFonts w:ascii="Arial" w:cs="Arial" w:eastAsia="Arial" w:hAnsi="Arial"/>
                <w:color w:val="1A1A1A"/>
                <w:sz w:val="20"/>
                <w:szCs w:val="20"/>
              </w:rPr>
              <w:t xml:space="preserve">batch_id, imported_count, skipped_count, error_count</w:t>
            </w:r>
          </w:p>
        </w:tc>
      </w:tr>
    </w:tbl>
    <w:p>
      <w:pPr>
        <w:spacing w:before="120" w:after="0"/>
      </w:pPr>
    </w:p>
    <w:p>
      <w:pPr>
        <w:pStyle w:val="Heading1"/>
        <w:spacing w:before="320" w:after="120"/>
      </w:pPr>
      <w:r>
        <w:rPr>
          <w:rFonts w:ascii="Arial" w:cs="Arial" w:eastAsia="Arial" w:hAnsi="Arial"/>
          <w:b/>
          <w:bCs/>
          <w:color w:val="1F4E79"/>
          <w:sz w:val="36"/>
          <w:szCs w:val="36"/>
        </w:rPr>
        <w:t xml:space="preserve">Pipeline Dashboard</w:t>
      </w:r>
    </w:p>
    <w:p>
      <w:pPr>
        <w:pStyle w:val="Heading2"/>
        <w:spacing w:before="240" w:after="80"/>
      </w:pPr>
      <w:r>
        <w:rPr>
          <w:rFonts w:ascii="Arial" w:cs="Arial" w:eastAsia="Arial" w:hAnsi="Arial"/>
          <w:b/>
          <w:bCs/>
          <w:color w:val="1F4E79"/>
          <w:sz w:val="28"/>
          <w:szCs w:val="28"/>
        </w:rPr>
        <w:t xml:space="preserve">Health view</w:t>
      </w:r>
    </w:p>
    <w:p>
      <w:pPr>
        <w:spacing w:before="60" w:after="60"/>
      </w:pPr>
      <w:r>
        <w:rPr>
          <w:rFonts w:ascii="Arial" w:cs="Arial" w:eastAsia="Arial" w:hAnsi="Arial"/>
          <w:color w:val="1A1A1A"/>
          <w:sz w:val="22"/>
          <w:szCs w:val="22"/>
        </w:rPr>
        <w:t xml:space="preserve">Real-time success/skip/fail rates per stage, per region, per hour. Anomaly detection flags a stage when its failure rate exceeds 2 standard deviations above its 7-day rolling mean.</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1500"/>
        <w:gridCol w:w="1300"/>
      </w:tblGrid>
      <w:tr>
        <w:trPr>
          <w:tblHeader/>
        </w:trPr>
        <w:tc>
          <w:tcPr>
            <w:tcW w:type="dxa" w:w="24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Panel</w:t>
            </w:r>
          </w:p>
        </w:tc>
        <w:tc>
          <w:tcPr>
            <w:tcW w:type="dxa" w:w="416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Query</w:t>
            </w:r>
          </w:p>
        </w:tc>
        <w:tc>
          <w:tcPr>
            <w:tcW w:type="dxa" w:w="15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Refresh</w:t>
            </w:r>
          </w:p>
        </w:tc>
      </w:tr>
      <w:tr>
        <w:tc>
          <w:tcPr>
            <w:tcW w:type="dxa" w:w="24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top"/>
          </w:tcPr>
          <w:p>
            <w:r>
              <w:rPr>
                <w:rFonts w:ascii="Arial" w:cs="Arial" w:eastAsia="Arial" w:hAnsi="Arial"/>
                <w:color w:val="1A1A1A"/>
                <w:sz w:val="20"/>
                <w:szCs w:val="20"/>
              </w:rPr>
              <w:t xml:space="preserve">Stage health heatmap</w:t>
            </w:r>
          </w:p>
        </w:tc>
        <w:tc>
          <w:tcPr>
            <w:tcW w:type="dxa" w:w="416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top"/>
          </w:tcPr>
          <w:p>
            <w:r>
              <w:rPr>
                <w:rFonts w:ascii="Arial" w:cs="Arial" w:eastAsia="Arial" w:hAnsi="Arial"/>
                <w:color w:val="1A1A1A"/>
                <w:sz w:val="20"/>
                <w:szCs w:val="20"/>
              </w:rPr>
              <w:t xml:space="preserve">Failure rate by stage x hour (last 24h)</w:t>
            </w:r>
          </w:p>
        </w:tc>
        <w:tc>
          <w:tcPr>
            <w:tcW w:type="dxa" w:w="15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top"/>
          </w:tcPr>
          <w:p>
            <w:r>
              <w:rPr>
                <w:rFonts w:ascii="Arial" w:cs="Arial" w:eastAsia="Arial" w:hAnsi="Arial"/>
                <w:color w:val="1A1A1A"/>
                <w:sz w:val="20"/>
                <w:szCs w:val="20"/>
              </w:rPr>
              <w:t xml:space="preserve">5 min</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r>
              <w:rPr>
                <w:rFonts w:ascii="Arial" w:cs="Arial" w:eastAsia="Arial" w:hAnsi="Arial"/>
                <w:color w:val="1A1A1A"/>
                <w:sz w:val="20"/>
                <w:szCs w:val="20"/>
              </w:rPr>
              <w:t xml:space="preserve">Active circuit breakers</w:t>
            </w:r>
          </w:p>
        </w:tc>
        <w:tc>
          <w:tcPr>
            <w:tcW w:type="dxa" w:w="41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r>
              <w:rPr>
                <w:rFonts w:ascii="Arial" w:cs="Arial" w:eastAsia="Arial" w:hAnsi="Arial"/>
                <w:color w:val="1A1A1A"/>
                <w:sz w:val="20"/>
                <w:szCs w:val="20"/>
              </w:rPr>
              <w:t xml:space="preserve">Stages with circuit_breaker_open in telemetry</w:t>
            </w:r>
          </w:p>
        </w:tc>
        <w:tc>
          <w:tcPr>
            <w:tcW w:type="dxa" w:w="1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r>
              <w:rPr>
                <w:rFonts w:ascii="Arial" w:cs="Arial" w:eastAsia="Arial" w:hAnsi="Arial"/>
                <w:color w:val="1A1A1A"/>
                <w:sz w:val="20"/>
                <w:szCs w:val="20"/>
              </w:rPr>
              <w:t xml:space="preserve">1 min</w:t>
            </w:r>
          </w:p>
        </w:tc>
      </w:tr>
      <w:tr>
        <w:tc>
          <w:tcPr>
            <w:tcW w:type="dxa" w:w="24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top"/>
          </w:tcPr>
          <w:p>
            <w:r>
              <w:rPr>
                <w:rFonts w:ascii="Arial" w:cs="Arial" w:eastAsia="Arial" w:hAnsi="Arial"/>
                <w:color w:val="1A1A1A"/>
                <w:sz w:val="20"/>
                <w:szCs w:val="20"/>
              </w:rPr>
              <w:t xml:space="preserve">Queue depths</w:t>
            </w:r>
          </w:p>
        </w:tc>
        <w:tc>
          <w:tcPr>
            <w:tcW w:type="dxa" w:w="416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top"/>
          </w:tcPr>
          <w:p>
            <w:r>
              <w:rPr>
                <w:rFonts w:ascii="Arial" w:cs="Arial" w:eastAsia="Arial" w:hAnsi="Arial"/>
                <w:color w:val="1A1A1A"/>
                <w:sz w:val="20"/>
                <w:szCs w:val="20"/>
              </w:rPr>
              <w:t xml:space="preserve">BullMQ API — waiting/active/failed per queue</w:t>
            </w:r>
          </w:p>
        </w:tc>
        <w:tc>
          <w:tcPr>
            <w:tcW w:type="dxa" w:w="15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top"/>
          </w:tcPr>
          <w:p>
            <w:r>
              <w:rPr>
                <w:rFonts w:ascii="Arial" w:cs="Arial" w:eastAsia="Arial" w:hAnsi="Arial"/>
                <w:color w:val="1A1A1A"/>
                <w:sz w:val="20"/>
                <w:szCs w:val="20"/>
              </w:rPr>
              <w:t xml:space="preserve">30 sec</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r>
              <w:rPr>
                <w:rFonts w:ascii="Arial" w:cs="Arial" w:eastAsia="Arial" w:hAnsi="Arial"/>
                <w:color w:val="1A1A1A"/>
                <w:sz w:val="20"/>
                <w:szCs w:val="20"/>
              </w:rPr>
              <w:t xml:space="preserve">Throughput</w:t>
            </w:r>
          </w:p>
        </w:tc>
        <w:tc>
          <w:tcPr>
            <w:tcW w:type="dxa" w:w="41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r>
              <w:rPr>
                <w:rFonts w:ascii="Arial" w:cs="Arial" w:eastAsia="Arial" w:hAnsi="Arial"/>
                <w:color w:val="1A1A1A"/>
                <w:sz w:val="20"/>
                <w:szCs w:val="20"/>
              </w:rPr>
              <w:t xml:space="preserve">Candidates created/scored/exported per hour</w:t>
            </w:r>
          </w:p>
        </w:tc>
        <w:tc>
          <w:tcPr>
            <w:tcW w:type="dxa" w:w="1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r>
              <w:rPr>
                <w:rFonts w:ascii="Arial" w:cs="Arial" w:eastAsia="Arial" w:hAnsi="Arial"/>
                <w:color w:val="1A1A1A"/>
                <w:sz w:val="20"/>
                <w:szCs w:val="20"/>
              </w:rPr>
              <w:t xml:space="preserve">5 min</w:t>
            </w:r>
          </w:p>
        </w:tc>
      </w:tr>
      <w:tr>
        <w:tc>
          <w:tcPr>
            <w:tcW w:type="dxa" w:w="24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top"/>
          </w:tcPr>
          <w:p>
            <w:r>
              <w:rPr>
                <w:rFonts w:ascii="Arial" w:cs="Arial" w:eastAsia="Arial" w:hAnsi="Arial"/>
                <w:color w:val="1A1A1A"/>
                <w:sz w:val="20"/>
                <w:szCs w:val="20"/>
              </w:rPr>
              <w:t xml:space="preserve">Token cost today</w:t>
            </w:r>
          </w:p>
        </w:tc>
        <w:tc>
          <w:tcPr>
            <w:tcW w:type="dxa" w:w="416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top"/>
          </w:tcPr>
          <w:p>
            <w:r>
              <w:rPr>
                <w:rFonts w:ascii="Arial" w:cs="Arial" w:eastAsia="Arial" w:hAnsi="Arial"/>
                <w:color w:val="1A1A1A"/>
                <w:sz w:val="20"/>
                <w:szCs w:val="20"/>
              </w:rPr>
              <w:t xml:space="preserve">SUM(metadata-&gt;token_usage-&gt;cost_usd) WHERE date = today</w:t>
            </w:r>
          </w:p>
        </w:tc>
        <w:tc>
          <w:tcPr>
            <w:tcW w:type="dxa" w:w="15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top"/>
          </w:tcPr>
          <w:p>
            <w:r>
              <w:rPr>
                <w:rFonts w:ascii="Arial" w:cs="Arial" w:eastAsia="Arial" w:hAnsi="Arial"/>
                <w:color w:val="1A1A1A"/>
                <w:sz w:val="20"/>
                <w:szCs w:val="20"/>
              </w:rPr>
              <w:t xml:space="preserve">15 min</w:t>
            </w:r>
          </w:p>
        </w:tc>
      </w:tr>
    </w:tbl>
    <w:p>
      <w:pPr>
        <w:spacing w:before="120" w:after="0"/>
      </w:pPr>
    </w:p>
    <w:p>
      <w:pPr>
        <w:pStyle w:val="Heading2"/>
        <w:spacing w:before="240" w:after="80"/>
      </w:pPr>
      <w:r>
        <w:rPr>
          <w:rFonts w:ascii="Arial" w:cs="Arial" w:eastAsia="Arial" w:hAnsi="Arial"/>
          <w:b/>
          <w:bCs/>
          <w:color w:val="1F4E79"/>
          <w:sz w:val="28"/>
          <w:szCs w:val="28"/>
        </w:rPr>
        <w:t xml:space="preserve">Entity trace view</w:t>
      </w:r>
    </w:p>
    <w:p>
      <w:pPr>
        <w:spacing w:before="60" w:after="60"/>
      </w:pPr>
      <w:r>
        <w:rPr>
          <w:rFonts w:ascii="Arial" w:cs="Arial" w:eastAsia="Arial" w:hAnsi="Arial"/>
          <w:color w:val="1A1A1A"/>
          <w:sz w:val="22"/>
          <w:szCs w:val="22"/>
        </w:rPr>
        <w:t xml:space="preserve">Given a pipelineRunId or entityId, shows every telemetry event in chronological order as a timeline. Each stage is a row showing: status, duration, key metadata values, and any error. Allows drilling into the exact signal vector and confidence reasons for any candidate.</w:t>
      </w:r>
    </w:p>
    <w:p>
      <w:pPr>
        <w:spacing w:before="120" w:after="0"/>
      </w:pPr>
    </w:p>
    <w:p>
      <w:pPr>
        <w:spacing w:before="60" w:after="60"/>
      </w:pPr>
      <w:r>
        <w:rPr>
          <w:rFonts w:ascii="Arial" w:cs="Arial" w:eastAsia="Arial" w:hAnsi="Arial"/>
          <w:color w:val="1A1A1A"/>
          <w:sz w:val="22"/>
          <w:szCs w:val="22"/>
        </w:rPr>
        <w:t xml:space="preserve">Example trace for a single event candidate:</w:t>
      </w:r>
    </w:p>
    <w:p>
      <w:pPr>
        <w:pStyle w:val="ListParagraph"/>
        <w:numPr>
          <w:ilvl w:val="0"/>
          <w:numId w:val="2"/>
        </w:numPr>
        <w:spacing w:before="40" w:after="40"/>
      </w:pPr>
      <w:r>
        <w:rPr>
          <w:rFonts w:ascii="Arial" w:cs="Arial" w:eastAsia="Arial" w:hAnsi="Arial"/>
          <w:color w:val="1A1A1A"/>
          <w:sz w:val="22"/>
          <w:szCs w:val="22"/>
        </w:rPr>
        <w:t xml:space="preserve">08:01:23 | fetch | completed | 200 OK | 142 KB | 840ms</w:t>
      </w:r>
    </w:p>
    <w:p>
      <w:pPr>
        <w:pStyle w:val="ListParagraph"/>
        <w:numPr>
          <w:ilvl w:val="0"/>
          <w:numId w:val="2"/>
        </w:numPr>
        <w:spacing w:before="40" w:after="40"/>
      </w:pPr>
      <w:r>
        <w:rPr>
          <w:rFonts w:ascii="Arial" w:cs="Arial" w:eastAsia="Arial" w:hAnsi="Arial"/>
          <w:color w:val="1A1A1A"/>
          <w:sz w:val="22"/>
          <w:szCs w:val="22"/>
        </w:rPr>
        <w:t xml:space="preserve">08:01:24 | extract | completed | anthropic | 14 events | $0.003</w:t>
      </w:r>
    </w:p>
    <w:p>
      <w:pPr>
        <w:pStyle w:val="ListParagraph"/>
        <w:numPr>
          <w:ilvl w:val="0"/>
          <w:numId w:val="2"/>
        </w:numPr>
        <w:spacing w:before="40" w:after="40"/>
      </w:pPr>
      <w:r>
        <w:rPr>
          <w:rFonts w:ascii="Arial" w:cs="Arial" w:eastAsia="Arial" w:hAnsi="Arial"/>
          <w:color w:val="1A1A1A"/>
          <w:sz w:val="22"/>
          <w:szCs w:val="22"/>
        </w:rPr>
        <w:t xml:space="preserve">08:01:25 | normalise | completed | timezone inferred: Europe/London</w:t>
      </w:r>
    </w:p>
    <w:p>
      <w:pPr>
        <w:pStyle w:val="ListParagraph"/>
        <w:numPr>
          <w:ilvl w:val="0"/>
          <w:numId w:val="2"/>
        </w:numPr>
        <w:spacing w:before="40" w:after="40"/>
      </w:pPr>
      <w:r>
        <w:rPr>
          <w:rFonts w:ascii="Arial" w:cs="Arial" w:eastAsia="Arial" w:hAnsi="Arial"/>
          <w:color w:val="1A1A1A"/>
          <w:sz w:val="22"/>
          <w:szCs w:val="22"/>
        </w:rPr>
        <w:t xml:space="preserve">08:01:25 | score | completed | model-v11 | score: 82 | band: HIGH</w:t>
      </w:r>
    </w:p>
    <w:p>
      <w:pPr>
        <w:pStyle w:val="ListParagraph"/>
        <w:numPr>
          <w:ilvl w:val="0"/>
          <w:numId w:val="2"/>
        </w:numPr>
        <w:spacing w:before="40" w:after="40"/>
      </w:pPr>
      <w:r>
        <w:rPr>
          <w:rFonts w:ascii="Arial" w:cs="Arial" w:eastAsia="Arial" w:hAnsi="Arial"/>
          <w:color w:val="1A1A1A"/>
          <w:sz w:val="22"/>
          <w:szCs w:val="22"/>
        </w:rPr>
        <w:t xml:space="preserve">08:01:26 | deduplicate | skipped | fingerprint match — marked DUPLICATE</w:t>
      </w:r>
    </w:p>
    <w:p>
      <w:pPr>
        <w:spacing w:before="120" w:after="0"/>
      </w:pPr>
    </w:p>
    <w:p>
      <w:pPr>
        <w:pStyle w:val="Heading2"/>
        <w:spacing w:before="240" w:after="80"/>
      </w:pPr>
      <w:r>
        <w:rPr>
          <w:rFonts w:ascii="Arial" w:cs="Arial" w:eastAsia="Arial" w:hAnsi="Arial"/>
          <w:b/>
          <w:bCs/>
          <w:color w:val="1F4E79"/>
          <w:sz w:val="28"/>
          <w:szCs w:val="28"/>
        </w:rPr>
        <w:t xml:space="preserve">Confidence distribution view</w:t>
      </w:r>
    </w:p>
    <w:p>
      <w:pPr>
        <w:spacing w:before="60" w:after="60"/>
      </w:pPr>
      <w:r>
        <w:rPr>
          <w:rFonts w:ascii="Arial" w:cs="Arial" w:eastAsia="Arial" w:hAnsi="Arial"/>
          <w:color w:val="1A1A1A"/>
          <w:sz w:val="22"/>
          <w:szCs w:val="22"/>
        </w:rPr>
        <w:t xml:space="preserve">Histogram of confidence scores by band, filterable by region, AI provider, entity type, and config version. Shows immediately if a model change or config change shifted the distribution in an unexpected direction.</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 shown</w:t>
            </w:r>
          </w:p>
        </w:tc>
        <w:tc>
          <w:tcPr>
            <w:tcW w:type="dxa" w:w="586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5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top"/>
          </w:tcPr>
          <w:p>
            <w:r>
              <w:rPr>
                <w:rFonts w:ascii="Arial" w:cs="Arial" w:eastAsia="Arial" w:hAnsi="Arial"/>
                <w:color w:val="1A1A1A"/>
                <w:sz w:val="20"/>
                <w:szCs w:val="20"/>
              </w:rPr>
              <w:t xml:space="preserve">Score histogram (10-pt buckets)</w:t>
            </w:r>
          </w:p>
        </w:tc>
        <w:tc>
          <w:tcPr>
            <w:tcW w:type="dxa" w:w="586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top"/>
          </w:tcPr>
          <w:p>
            <w:r>
              <w:rPr>
                <w:rFonts w:ascii="Arial" w:cs="Arial" w:eastAsia="Arial" w:hAnsi="Arial"/>
                <w:color w:val="1A1A1A"/>
                <w:sz w:val="20"/>
                <w:szCs w:val="20"/>
              </w:rPr>
              <w:t xml:space="preserve">Distribution of all scores in the selected window</w:t>
            </w:r>
          </w:p>
        </w:tc>
      </w:tr>
      <w:tr>
        <w:tc>
          <w:tcPr>
            <w:tcW w:type="dxa" w:w="3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r>
              <w:rPr>
                <w:rFonts w:ascii="Arial" w:cs="Arial" w:eastAsia="Arial" w:hAnsi="Arial"/>
                <w:color w:val="1A1A1A"/>
                <w:sz w:val="20"/>
                <w:szCs w:val="20"/>
              </w:rPr>
              <w:t xml:space="preserve">Band split %</w:t>
            </w:r>
          </w:p>
        </w:tc>
        <w:tc>
          <w:tcPr>
            <w:tcW w:type="dxa" w:w="58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r>
              <w:rPr>
                <w:rFonts w:ascii="Arial" w:cs="Arial" w:eastAsia="Arial" w:hAnsi="Arial"/>
                <w:color w:val="1A1A1A"/>
                <w:sz w:val="20"/>
                <w:szCs w:val="20"/>
              </w:rPr>
              <w:t xml:space="preserve">HIGH / MEDIUM / LOW percentages</w:t>
            </w:r>
          </w:p>
        </w:tc>
      </w:tr>
      <w:tr>
        <w:tc>
          <w:tcPr>
            <w:tcW w:type="dxa" w:w="35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top"/>
          </w:tcPr>
          <w:p>
            <w:r>
              <w:rPr>
                <w:rFonts w:ascii="Arial" w:cs="Arial" w:eastAsia="Arial" w:hAnsi="Arial"/>
                <w:color w:val="1A1A1A"/>
                <w:sz w:val="20"/>
                <w:szCs w:val="20"/>
              </w:rPr>
              <w:t xml:space="preserve">Auto-approve rate</w:t>
            </w:r>
          </w:p>
        </w:tc>
        <w:tc>
          <w:tcPr>
            <w:tcW w:type="dxa" w:w="586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top"/>
          </w:tcPr>
          <w:p>
            <w:r>
              <w:rPr>
                <w:rFonts w:ascii="Arial" w:cs="Arial" w:eastAsia="Arial" w:hAnsi="Arial"/>
                <w:color w:val="1A1A1A"/>
                <w:sz w:val="20"/>
                <w:szCs w:val="20"/>
              </w:rPr>
              <w:t xml:space="preserve">Fraction of HIGH-band candidates auto-approved</w:t>
            </w:r>
          </w:p>
        </w:tc>
      </w:tr>
      <w:tr>
        <w:tc>
          <w:tcPr>
            <w:tcW w:type="dxa" w:w="3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r>
              <w:rPr>
                <w:rFonts w:ascii="Arial" w:cs="Arial" w:eastAsia="Arial" w:hAnsi="Arial"/>
                <w:color w:val="1A1A1A"/>
                <w:sz w:val="20"/>
                <w:szCs w:val="20"/>
              </w:rPr>
              <w:t xml:space="preserve">Human override rate</w:t>
            </w:r>
          </w:p>
        </w:tc>
        <w:tc>
          <w:tcPr>
            <w:tcW w:type="dxa" w:w="58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r>
              <w:rPr>
                <w:rFonts w:ascii="Arial" w:cs="Arial" w:eastAsia="Arial" w:hAnsi="Arial"/>
                <w:color w:val="1A1A1A"/>
                <w:sz w:val="20"/>
                <w:szCs w:val="20"/>
              </w:rPr>
              <w:t xml:space="preserve">Fraction of auto-approvals later rejected by admin</w:t>
            </w:r>
          </w:p>
        </w:tc>
      </w:tr>
      <w:tr>
        <w:tc>
          <w:tcPr>
            <w:tcW w:type="dxa" w:w="35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top"/>
          </w:tcPr>
          <w:p>
            <w:r>
              <w:rPr>
                <w:rFonts w:ascii="Arial" w:cs="Arial" w:eastAsia="Arial" w:hAnsi="Arial"/>
                <w:color w:val="1A1A1A"/>
                <w:sz w:val="20"/>
                <w:szCs w:val="20"/>
              </w:rPr>
              <w:t xml:space="preserve">Model version comparison</w:t>
            </w:r>
          </w:p>
        </w:tc>
        <w:tc>
          <w:tcPr>
            <w:tcW w:type="dxa" w:w="586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top"/>
          </w:tcPr>
          <w:p>
            <w:r>
              <w:rPr>
                <w:rFonts w:ascii="Arial" w:cs="Arial" w:eastAsia="Arial" w:hAnsi="Arial"/>
                <w:color w:val="1A1A1A"/>
                <w:sz w:val="20"/>
                <w:szCs w:val="20"/>
              </w:rPr>
              <w:t xml:space="preserve">Overlay two model version distributions on same chart</w:t>
            </w:r>
          </w:p>
        </w:tc>
      </w:tr>
    </w:tbl>
    <w:p>
      <w:pPr>
        <w:spacing w:before="120" w:after="0"/>
      </w:pPr>
    </w:p>
    <w:p>
      <w:pPr>
        <w:pStyle w:val="Heading2"/>
        <w:spacing w:before="240" w:after="80"/>
      </w:pPr>
      <w:r>
        <w:rPr>
          <w:rFonts w:ascii="Arial" w:cs="Arial" w:eastAsia="Arial" w:hAnsi="Arial"/>
          <w:b/>
          <w:bCs/>
          <w:color w:val="1F4E79"/>
          <w:sz w:val="28"/>
          <w:szCs w:val="28"/>
        </w:rPr>
        <w:t xml:space="preserve">Cost view</w:t>
      </w:r>
    </w:p>
    <w:p>
      <w:pPr>
        <w:spacing w:before="60" w:after="60"/>
      </w:pPr>
      <w:r>
        <w:rPr>
          <w:rFonts w:ascii="Arial" w:cs="Arial" w:eastAsia="Arial" w:hAnsi="Arial"/>
          <w:color w:val="1A1A1A"/>
          <w:sz w:val="22"/>
          <w:szCs w:val="22"/>
        </w:rPr>
        <w:t xml:space="preserve">Token usage broken down by provider, model, region, and venue. Actual vs. projected monthly spend based on the current run rate. Highlights the 10 most expensive venues (by token cost per candidate produced).</w:t>
      </w:r>
    </w:p>
    <w:p>
      <w:pPr>
        <w:spacing w:before="120" w:after="0"/>
      </w:pPr>
    </w:p>
    <w:p>
      <w:pPr>
        <w:pStyle w:val="Heading2"/>
        <w:spacing w:before="240" w:after="80"/>
      </w:pPr>
      <w:r>
        <w:rPr>
          <w:rFonts w:ascii="Arial" w:cs="Arial" w:eastAsia="Arial" w:hAnsi="Arial"/>
          <w:b/>
          <w:bCs/>
          <w:color w:val="1F4E79"/>
          <w:sz w:val="28"/>
          <w:szCs w:val="28"/>
        </w:rPr>
        <w:t xml:space="preserve">Discovery performance view</w:t>
      </w:r>
    </w:p>
    <w:p>
      <w:pPr>
        <w:spacing w:before="60" w:after="60"/>
      </w:pPr>
      <w:r>
        <w:rPr>
          <w:rFonts w:ascii="Arial" w:cs="Arial" w:eastAsia="Arial" w:hAnsi="Arial"/>
          <w:color w:val="1A1A1A"/>
          <w:sz w:val="22"/>
          <w:szCs w:val="22"/>
        </w:rPr>
        <w:t xml:space="preserve">Template yield rates, bandit arm allocations, and region progress toward coverage goals. Shows which templates are currently being explored vs. exploited by the Thompson sampling bandit.</w:t>
      </w:r>
    </w:p>
    <w:p>
      <w:pPr>
        <w:spacing w:before="120" w:after="0"/>
      </w:pPr>
    </w:p>
    <w:p>
      <w:pPr>
        <w:pStyle w:val="Heading1"/>
        <w:spacing w:before="320" w:after="120"/>
      </w:pPr>
      <w:r>
        <w:rPr>
          <w:rFonts w:ascii="Arial" w:cs="Arial" w:eastAsia="Arial" w:hAnsi="Arial"/>
          <w:b/>
          <w:bCs/>
          <w:color w:val="1F4E79"/>
          <w:sz w:val="36"/>
          <w:szCs w:val="36"/>
        </w:rPr>
        <w:t xml:space="preserve">Alerting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1500"/>
        <w:gridCol w:w="1560"/>
        <w:gridCol w:w="500"/>
      </w:tblGrid>
      <w:tr>
        <w:trPr>
          <w:tblHeader/>
        </w:trPr>
        <w:tc>
          <w:tcPr>
            <w:tcW w:type="dxa" w:w="28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Alert</w:t>
            </w:r>
          </w:p>
        </w:tc>
        <w:tc>
          <w:tcPr>
            <w:tcW w:type="dxa" w:w="30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15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156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Severity</w:t>
            </w:r>
          </w:p>
        </w:tc>
      </w:tr>
      <w:tr>
        <w:tc>
          <w:tcPr>
            <w:tcW w:type="dxa" w:w="28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top"/>
          </w:tcPr>
          <w:p>
            <w:r>
              <w:rPr>
                <w:rFonts w:ascii="Arial" w:cs="Arial" w:eastAsia="Arial" w:hAnsi="Arial"/>
                <w:color w:val="1A1A1A"/>
                <w:sz w:val="20"/>
                <w:szCs w:val="20"/>
              </w:rPr>
              <w:t xml:space="preserve">Stage circuit open</w:t>
            </w:r>
          </w:p>
        </w:tc>
        <w:tc>
          <w:tcPr>
            <w:tcW w:type="dxa" w:w="30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top"/>
          </w:tcPr>
          <w:p>
            <w:r>
              <w:rPr>
                <w:rFonts w:ascii="Arial" w:cs="Arial" w:eastAsia="Arial" w:hAnsi="Arial"/>
                <w:color w:val="1A1A1A"/>
                <w:sz w:val="20"/>
                <w:szCs w:val="20"/>
              </w:rPr>
              <w:t xml:space="preserve">Circuit breaker opens on any stage</w:t>
            </w:r>
          </w:p>
        </w:tc>
        <w:tc>
          <w:tcPr>
            <w:tcW w:type="dxa" w:w="15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top"/>
          </w:tcPr>
          <w:p>
            <w:r>
              <w:rPr>
                <w:rFonts w:ascii="Arial" w:cs="Arial" w:eastAsia="Arial" w:hAnsi="Arial"/>
                <w:color w:val="1A1A1A"/>
                <w:sz w:val="20"/>
                <w:szCs w:val="20"/>
              </w:rPr>
              <w:t xml:space="preserve">Slack + email</w:t>
            </w:r>
          </w:p>
        </w:tc>
        <w:tc>
          <w:tcPr>
            <w:tcW w:type="dxa" w:w="156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top"/>
          </w:tcPr>
          <w:p>
            <w:r>
              <w:rPr>
                <w:rFonts w:ascii="Arial" w:cs="Arial" w:eastAsia="Arial" w:hAnsi="Arial"/>
                <w:color w:val="1A1A1A"/>
                <w:sz w:val="20"/>
                <w:szCs w:val="20"/>
              </w:rPr>
              <w:t xml:space="preserve">P1</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r>
              <w:rPr>
                <w:rFonts w:ascii="Arial" w:cs="Arial" w:eastAsia="Arial" w:hAnsi="Arial"/>
                <w:color w:val="1A1A1A"/>
                <w:sz w:val="20"/>
                <w:szCs w:val="20"/>
              </w:rPr>
              <w:t xml:space="preserve">Export DLQ</w:t>
            </w:r>
          </w:p>
        </w:tc>
        <w:tc>
          <w:tcPr>
            <w:tcW w:type="dxa" w:w="3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r>
              <w:rPr>
                <w:rFonts w:ascii="Arial" w:cs="Arial" w:eastAsia="Arial" w:hAnsi="Arial"/>
                <w:color w:val="1A1A1A"/>
                <w:sz w:val="20"/>
                <w:szCs w:val="20"/>
              </w:rPr>
              <w:t xml:space="preserve">Any job hits dead-letter queue on export stage</w:t>
            </w:r>
          </w:p>
        </w:tc>
        <w:tc>
          <w:tcPr>
            <w:tcW w:type="dxa" w:w="1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r>
              <w:rPr>
                <w:rFonts w:ascii="Arial" w:cs="Arial" w:eastAsia="Arial" w:hAnsi="Arial"/>
                <w:color w:val="1A1A1A"/>
                <w:sz w:val="20"/>
                <w:szCs w:val="20"/>
              </w:rPr>
              <w:t xml:space="preserve">Slack + email</w:t>
            </w:r>
          </w:p>
        </w:tc>
        <w:tc>
          <w:tcPr>
            <w:tcW w:type="dxa" w:w="15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r>
              <w:rPr>
                <w:rFonts w:ascii="Arial" w:cs="Arial" w:eastAsia="Arial" w:hAnsi="Arial"/>
                <w:color w:val="1A1A1A"/>
                <w:sz w:val="20"/>
                <w:szCs w:val="20"/>
              </w:rPr>
              <w:t xml:space="preserve">P1</w:t>
            </w:r>
          </w:p>
        </w:tc>
      </w:tr>
      <w:tr>
        <w:tc>
          <w:tcPr>
            <w:tcW w:type="dxa" w:w="28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top"/>
          </w:tcPr>
          <w:p>
            <w:r>
              <w:rPr>
                <w:rFonts w:ascii="Arial" w:cs="Arial" w:eastAsia="Arial" w:hAnsi="Arial"/>
                <w:color w:val="1A1A1A"/>
                <w:sz w:val="20"/>
                <w:szCs w:val="20"/>
              </w:rPr>
              <w:t xml:space="preserve">Fetch failure spike</w:t>
            </w:r>
          </w:p>
        </w:tc>
        <w:tc>
          <w:tcPr>
            <w:tcW w:type="dxa" w:w="30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top"/>
          </w:tcPr>
          <w:p>
            <w:r>
              <w:rPr>
                <w:rFonts w:ascii="Arial" w:cs="Arial" w:eastAsia="Arial" w:hAnsi="Arial"/>
                <w:color w:val="1A1A1A"/>
                <w:sz w:val="20"/>
                <w:szCs w:val="20"/>
              </w:rPr>
              <w:t xml:space="preserve">Fetch failure rate &gt; 40% in 1h window</w:t>
            </w:r>
          </w:p>
        </w:tc>
        <w:tc>
          <w:tcPr>
            <w:tcW w:type="dxa" w:w="15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top"/>
          </w:tcPr>
          <w:p>
            <w:r>
              <w:rPr>
                <w:rFonts w:ascii="Arial" w:cs="Arial" w:eastAsia="Arial" w:hAnsi="Arial"/>
                <w:color w:val="1A1A1A"/>
                <w:sz w:val="20"/>
                <w:szCs w:val="20"/>
              </w:rPr>
              <w:t xml:space="preserve">Slack</w:t>
            </w:r>
          </w:p>
        </w:tc>
        <w:tc>
          <w:tcPr>
            <w:tcW w:type="dxa" w:w="156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top"/>
          </w:tcPr>
          <w:p>
            <w:r>
              <w:rPr>
                <w:rFonts w:ascii="Arial" w:cs="Arial" w:eastAsia="Arial" w:hAnsi="Arial"/>
                <w:color w:val="1A1A1A"/>
                <w:sz w:val="20"/>
                <w:szCs w:val="20"/>
              </w:rPr>
              <w:t xml:space="preserve">P2</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r>
              <w:rPr>
                <w:rFonts w:ascii="Arial" w:cs="Arial" w:eastAsia="Arial" w:hAnsi="Arial"/>
                <w:color w:val="1A1A1A"/>
                <w:sz w:val="20"/>
                <w:szCs w:val="20"/>
              </w:rPr>
              <w:t xml:space="preserve">Extract cost overrun</w:t>
            </w:r>
          </w:p>
        </w:tc>
        <w:tc>
          <w:tcPr>
            <w:tcW w:type="dxa" w:w="3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r>
              <w:rPr>
                <w:rFonts w:ascii="Arial" w:cs="Arial" w:eastAsia="Arial" w:hAnsi="Arial"/>
                <w:color w:val="1A1A1A"/>
                <w:sz w:val="20"/>
                <w:szCs w:val="20"/>
              </w:rPr>
              <w:t xml:space="preserve">Daily token cost &gt; 150% of 7-day average</w:t>
            </w:r>
          </w:p>
        </w:tc>
        <w:tc>
          <w:tcPr>
            <w:tcW w:type="dxa" w:w="1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r>
              <w:rPr>
                <w:rFonts w:ascii="Arial" w:cs="Arial" w:eastAsia="Arial" w:hAnsi="Arial"/>
                <w:color w:val="1A1A1A"/>
                <w:sz w:val="20"/>
                <w:szCs w:val="20"/>
              </w:rPr>
              <w:t xml:space="preserve">Email</w:t>
            </w:r>
          </w:p>
        </w:tc>
        <w:tc>
          <w:tcPr>
            <w:tcW w:type="dxa" w:w="15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r>
              <w:rPr>
                <w:rFonts w:ascii="Arial" w:cs="Arial" w:eastAsia="Arial" w:hAnsi="Arial"/>
                <w:color w:val="1A1A1A"/>
                <w:sz w:val="20"/>
                <w:szCs w:val="20"/>
              </w:rPr>
              <w:t xml:space="preserve">P2</w:t>
            </w:r>
          </w:p>
        </w:tc>
      </w:tr>
      <w:tr>
        <w:tc>
          <w:tcPr>
            <w:tcW w:type="dxa" w:w="28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top"/>
          </w:tcPr>
          <w:p>
            <w:r>
              <w:rPr>
                <w:rFonts w:ascii="Arial" w:cs="Arial" w:eastAsia="Arial" w:hAnsi="Arial"/>
                <w:color w:val="1A1A1A"/>
                <w:sz w:val="20"/>
                <w:szCs w:val="20"/>
              </w:rPr>
              <w:t xml:space="preserve">Confidence distribution shift</w:t>
            </w:r>
          </w:p>
        </w:tc>
        <w:tc>
          <w:tcPr>
            <w:tcW w:type="dxa" w:w="30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top"/>
          </w:tcPr>
          <w:p>
            <w:r>
              <w:rPr>
                <w:rFonts w:ascii="Arial" w:cs="Arial" w:eastAsia="Arial" w:hAnsi="Arial"/>
                <w:color w:val="1A1A1A"/>
                <w:sz w:val="20"/>
                <w:szCs w:val="20"/>
              </w:rPr>
              <w:t xml:space="preserve">HIGH-band % drops &gt; 20pp vs. prior week</w:t>
            </w:r>
          </w:p>
        </w:tc>
        <w:tc>
          <w:tcPr>
            <w:tcW w:type="dxa" w:w="15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top"/>
          </w:tcPr>
          <w:p>
            <w:r>
              <w:rPr>
                <w:rFonts w:ascii="Arial" w:cs="Arial" w:eastAsia="Arial" w:hAnsi="Arial"/>
                <w:color w:val="1A1A1A"/>
                <w:sz w:val="20"/>
                <w:szCs w:val="20"/>
              </w:rPr>
              <w:t xml:space="preserve">Email</w:t>
            </w:r>
          </w:p>
        </w:tc>
        <w:tc>
          <w:tcPr>
            <w:tcW w:type="dxa" w:w="156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top"/>
          </w:tcPr>
          <w:p>
            <w:r>
              <w:rPr>
                <w:rFonts w:ascii="Arial" w:cs="Arial" w:eastAsia="Arial" w:hAnsi="Arial"/>
                <w:color w:val="1A1A1A"/>
                <w:sz w:val="20"/>
                <w:szCs w:val="20"/>
              </w:rPr>
              <w:t xml:space="preserve">P2</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r>
              <w:rPr>
                <w:rFonts w:ascii="Arial" w:cs="Arial" w:eastAsia="Arial" w:hAnsi="Arial"/>
                <w:color w:val="1A1A1A"/>
                <w:sz w:val="20"/>
                <w:szCs w:val="20"/>
              </w:rPr>
              <w:t xml:space="preserve">Model shadow eligible</w:t>
            </w:r>
          </w:p>
        </w:tc>
        <w:tc>
          <w:tcPr>
            <w:tcW w:type="dxa" w:w="3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r>
              <w:rPr>
                <w:rFonts w:ascii="Arial" w:cs="Arial" w:eastAsia="Arial" w:hAnsi="Arial"/>
                <w:color w:val="1A1A1A"/>
                <w:sz w:val="20"/>
                <w:szCs w:val="20"/>
              </w:rPr>
              <w:t xml:space="preserve">Shadow model meets promotion criteria</w:t>
            </w:r>
          </w:p>
        </w:tc>
        <w:tc>
          <w:tcPr>
            <w:tcW w:type="dxa" w:w="1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r>
              <w:rPr>
                <w:rFonts w:ascii="Arial" w:cs="Arial" w:eastAsia="Arial" w:hAnsi="Arial"/>
                <w:color w:val="1A1A1A"/>
                <w:sz w:val="20"/>
                <w:szCs w:val="20"/>
              </w:rPr>
              <w:t xml:space="preserve">Slack</w:t>
            </w:r>
          </w:p>
        </w:tc>
        <w:tc>
          <w:tcPr>
            <w:tcW w:type="dxa" w:w="15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r>
              <w:rPr>
                <w:rFonts w:ascii="Arial" w:cs="Arial" w:eastAsia="Arial" w:hAnsi="Arial"/>
                <w:color w:val="1A1A1A"/>
                <w:sz w:val="20"/>
                <w:szCs w:val="20"/>
              </w:rPr>
              <w:t xml:space="preserve">P3</w:t>
            </w:r>
          </w:p>
        </w:tc>
      </w:tr>
      <w:tr>
        <w:tc>
          <w:tcPr>
            <w:tcW w:type="dxa" w:w="28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top"/>
          </w:tcPr>
          <w:p>
            <w:r>
              <w:rPr>
                <w:rFonts w:ascii="Arial" w:cs="Arial" w:eastAsia="Arial" w:hAnsi="Arial"/>
                <w:color w:val="1A1A1A"/>
                <w:sz w:val="20"/>
                <w:szCs w:val="20"/>
              </w:rPr>
              <w:t xml:space="preserve">Auto-approve human override</w:t>
            </w:r>
          </w:p>
        </w:tc>
        <w:tc>
          <w:tcPr>
            <w:tcW w:type="dxa" w:w="30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top"/>
          </w:tcPr>
          <w:p>
            <w:r>
              <w:rPr>
                <w:rFonts w:ascii="Arial" w:cs="Arial" w:eastAsia="Arial" w:hAnsi="Arial"/>
                <w:color w:val="1A1A1A"/>
                <w:sz w:val="20"/>
                <w:szCs w:val="20"/>
              </w:rPr>
              <w:t xml:space="preserve">Human override rate &gt; 10% in 48h window</w:t>
            </w:r>
          </w:p>
        </w:tc>
        <w:tc>
          <w:tcPr>
            <w:tcW w:type="dxa" w:w="15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top"/>
          </w:tcPr>
          <w:p>
            <w:r>
              <w:rPr>
                <w:rFonts w:ascii="Arial" w:cs="Arial" w:eastAsia="Arial" w:hAnsi="Arial"/>
                <w:color w:val="1A1A1A"/>
                <w:sz w:val="20"/>
                <w:szCs w:val="20"/>
              </w:rPr>
              <w:t xml:space="preserve">Email</w:t>
            </w:r>
          </w:p>
        </w:tc>
        <w:tc>
          <w:tcPr>
            <w:tcW w:type="dxa" w:w="156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top"/>
          </w:tcPr>
          <w:p>
            <w:r>
              <w:rPr>
                <w:rFonts w:ascii="Arial" w:cs="Arial" w:eastAsia="Arial" w:hAnsi="Arial"/>
                <w:color w:val="1A1A1A"/>
                <w:sz w:val="20"/>
                <w:szCs w:val="20"/>
              </w:rPr>
              <w:t xml:space="preserve">P2</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r>
              <w:rPr>
                <w:rFonts w:ascii="Arial" w:cs="Arial" w:eastAsia="Arial" w:hAnsi="Arial"/>
                <w:color w:val="1A1A1A"/>
                <w:sz w:val="20"/>
                <w:szCs w:val="20"/>
              </w:rPr>
              <w:t xml:space="preserve">Artio import errors</w:t>
            </w:r>
          </w:p>
        </w:tc>
        <w:tc>
          <w:tcPr>
            <w:tcW w:type="dxa" w:w="3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r>
              <w:rPr>
                <w:rFonts w:ascii="Arial" w:cs="Arial" w:eastAsia="Arial" w:hAnsi="Arial"/>
                <w:color w:val="1A1A1A"/>
                <w:sz w:val="20"/>
                <w:szCs w:val="20"/>
              </w:rPr>
              <w:t xml:space="preserve">Import API returns error_count &gt; 0</w:t>
            </w:r>
          </w:p>
        </w:tc>
        <w:tc>
          <w:tcPr>
            <w:tcW w:type="dxa" w:w="1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r>
              <w:rPr>
                <w:rFonts w:ascii="Arial" w:cs="Arial" w:eastAsia="Arial" w:hAnsi="Arial"/>
                <w:color w:val="1A1A1A"/>
                <w:sz w:val="20"/>
                <w:szCs w:val="20"/>
              </w:rPr>
              <w:t xml:space="preserve">Slack</w:t>
            </w:r>
          </w:p>
        </w:tc>
        <w:tc>
          <w:tcPr>
            <w:tcW w:type="dxa" w:w="15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r>
              <w:rPr>
                <w:rFonts w:ascii="Arial" w:cs="Arial" w:eastAsia="Arial" w:hAnsi="Arial"/>
                <w:color w:val="1A1A1A"/>
                <w:sz w:val="20"/>
                <w:szCs w:val="20"/>
              </w:rPr>
              <w:t xml:space="preserve">P2</w:t>
            </w:r>
          </w:p>
        </w:tc>
      </w:tr>
    </w:tbl>
    <w:p>
      <w:pPr>
        <w:spacing w:before="120" w:after="0"/>
      </w:pPr>
    </w:p>
    <w:p>
      <w:pPr>
        <w:pStyle w:val="Heading1"/>
        <w:spacing w:before="320" w:after="120"/>
      </w:pPr>
      <w:r>
        <w:rPr>
          <w:rFonts w:ascii="Arial" w:cs="Arial" w:eastAsia="Arial" w:hAnsi="Arial"/>
          <w:b/>
          <w:bCs/>
          <w:color w:val="1F4E79"/>
          <w:sz w:val="36"/>
          <w:szCs w:val="36"/>
        </w:rPr>
        <w:t xml:space="preserve">Telemetry Retention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rPr>
          <w:tblHeader/>
        </w:trPr>
        <w:tc>
          <w:tcPr>
            <w:tcW w:type="dxa" w:w="30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Data</w:t>
            </w:r>
          </w:p>
        </w:tc>
        <w:tc>
          <w:tcPr>
            <w:tcW w:type="dxa" w:w="25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Retention</w:t>
            </w:r>
          </w:p>
        </w:tc>
        <w:tc>
          <w:tcPr>
            <w:tcW w:type="dxa" w:w="386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30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top"/>
          </w:tcPr>
          <w:p>
            <w:r>
              <w:rPr>
                <w:rFonts w:ascii="Arial" w:cs="Arial" w:eastAsia="Arial" w:hAnsi="Arial"/>
                <w:color w:val="1A1A1A"/>
                <w:sz w:val="20"/>
                <w:szCs w:val="20"/>
              </w:rPr>
              <w:t xml:space="preserve">pipeline_telemetry</w:t>
            </w:r>
          </w:p>
        </w:tc>
        <w:tc>
          <w:tcPr>
            <w:tcW w:type="dxa" w:w="25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top"/>
          </w:tcPr>
          <w:p>
            <w:r>
              <w:rPr>
                <w:rFonts w:ascii="Arial" w:cs="Arial" w:eastAsia="Arial" w:hAnsi="Arial"/>
                <w:color w:val="1A1A1A"/>
                <w:sz w:val="20"/>
                <w:szCs w:val="20"/>
              </w:rPr>
              <w:t xml:space="preserve">90 days hot, 1 year cold (S3)</w:t>
            </w:r>
          </w:p>
        </w:tc>
        <w:tc>
          <w:tcPr>
            <w:tcW w:type="dxa" w:w="386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top"/>
          </w:tcPr>
          <w:p>
            <w:r>
              <w:rPr>
                <w:rFonts w:ascii="Arial" w:cs="Arial" w:eastAsia="Arial" w:hAnsi="Arial"/>
                <w:color w:val="1A1A1A"/>
                <w:sz w:val="20"/>
                <w:szCs w:val="20"/>
              </w:rPr>
              <w:t xml:space="preserve">Debugging window + annual trend analysis</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r>
              <w:rPr>
                <w:rFonts w:ascii="Arial" w:cs="Arial" w:eastAsia="Arial" w:hAnsi="Arial"/>
                <w:color w:val="1A1A1A"/>
                <w:sz w:val="20"/>
                <w:szCs w:val="20"/>
              </w:rPr>
              <w:t xml:space="preserve">confidence_history</w:t>
            </w:r>
          </w:p>
        </w:tc>
        <w:tc>
          <w:tcPr>
            <w:tcW w:type="dxa" w:w="2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r>
              <w:rPr>
                <w:rFonts w:ascii="Arial" w:cs="Arial" w:eastAsia="Arial" w:hAnsi="Arial"/>
                <w:color w:val="1A1A1A"/>
                <w:sz w:val="20"/>
                <w:szCs w:val="20"/>
              </w:rPr>
              <w:t xml:space="preserve">Indefinite</w:t>
            </w:r>
          </w:p>
        </w:tc>
        <w:tc>
          <w:tcPr>
            <w:tcW w:type="dxa" w:w="38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r>
              <w:rPr>
                <w:rFonts w:ascii="Arial" w:cs="Arial" w:eastAsia="Arial" w:hAnsi="Arial"/>
                <w:color w:val="1A1A1A"/>
                <w:sz w:val="20"/>
                <w:szCs w:val="20"/>
              </w:rPr>
              <w:t xml:space="preserve">Training data for model retraining</w:t>
            </w:r>
          </w:p>
        </w:tc>
      </w:tr>
      <w:tr>
        <w:tc>
          <w:tcPr>
            <w:tcW w:type="dxa" w:w="30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top"/>
          </w:tcPr>
          <w:p>
            <w:r>
              <w:rPr>
                <w:rFonts w:ascii="Arial" w:cs="Arial" w:eastAsia="Arial" w:hAnsi="Arial"/>
                <w:color w:val="1A1A1A"/>
                <w:sz w:val="20"/>
                <w:szCs w:val="20"/>
              </w:rPr>
              <w:t xml:space="preserve">observation_log</w:t>
            </w:r>
          </w:p>
        </w:tc>
        <w:tc>
          <w:tcPr>
            <w:tcW w:type="dxa" w:w="25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top"/>
          </w:tcPr>
          <w:p>
            <w:r>
              <w:rPr>
                <w:rFonts w:ascii="Arial" w:cs="Arial" w:eastAsia="Arial" w:hAnsi="Arial"/>
                <w:color w:val="1A1A1A"/>
                <w:sz w:val="20"/>
                <w:szCs w:val="20"/>
              </w:rPr>
              <w:t xml:space="preserve">1 year</w:t>
            </w:r>
          </w:p>
        </w:tc>
        <w:tc>
          <w:tcPr>
            <w:tcW w:type="dxa" w:w="386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top"/>
          </w:tcPr>
          <w:p>
            <w:r>
              <w:rPr>
                <w:rFonts w:ascii="Arial" w:cs="Arial" w:eastAsia="Arial" w:hAnsi="Arial"/>
                <w:color w:val="1A1A1A"/>
                <w:sz w:val="20"/>
                <w:szCs w:val="20"/>
              </w:rPr>
              <w:t xml:space="preserve">Maturity signal history</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r>
              <w:rPr>
                <w:rFonts w:ascii="Arial" w:cs="Arial" w:eastAsia="Arial" w:hAnsi="Arial"/>
                <w:color w:val="1A1A1A"/>
                <w:sz w:val="20"/>
                <w:szCs w:val="20"/>
              </w:rPr>
              <w:t xml:space="preserve">export_batches</w:t>
            </w:r>
          </w:p>
        </w:tc>
        <w:tc>
          <w:tcPr>
            <w:tcW w:type="dxa" w:w="2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r>
              <w:rPr>
                <w:rFonts w:ascii="Arial" w:cs="Arial" w:eastAsia="Arial" w:hAnsi="Arial"/>
                <w:color w:val="1A1A1A"/>
                <w:sz w:val="20"/>
                <w:szCs w:val="20"/>
              </w:rPr>
              <w:t xml:space="preserve">Indefinite</w:t>
            </w:r>
          </w:p>
        </w:tc>
        <w:tc>
          <w:tcPr>
            <w:tcW w:type="dxa" w:w="38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r>
              <w:rPr>
                <w:rFonts w:ascii="Arial" w:cs="Arial" w:eastAsia="Arial" w:hAnsi="Arial"/>
                <w:color w:val="1A1A1A"/>
                <w:sz w:val="20"/>
                <w:szCs w:val="20"/>
              </w:rPr>
              <w:t xml:space="preserve">Audit trail</w:t>
            </w:r>
          </w:p>
        </w:tc>
      </w:tr>
      <w:tr>
        <w:tc>
          <w:tcPr>
            <w:tcW w:type="dxa" w:w="30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top"/>
          </w:tcPr>
          <w:p>
            <w:r>
              <w:rPr>
                <w:rFonts w:ascii="Arial" w:cs="Arial" w:eastAsia="Arial" w:hAnsi="Arial"/>
                <w:color w:val="1A1A1A"/>
                <w:sz w:val="20"/>
                <w:szCs w:val="20"/>
              </w:rPr>
              <w:t xml:space="preserve">raw HTML (S3)</w:t>
            </w:r>
          </w:p>
        </w:tc>
        <w:tc>
          <w:tcPr>
            <w:tcW w:type="dxa" w:w="25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top"/>
          </w:tcPr>
          <w:p>
            <w:r>
              <w:rPr>
                <w:rFonts w:ascii="Arial" w:cs="Arial" w:eastAsia="Arial" w:hAnsi="Arial"/>
                <w:color w:val="1A1A1A"/>
                <w:sz w:val="20"/>
                <w:szCs w:val="20"/>
              </w:rPr>
              <w:t xml:space="preserve">90 days</w:t>
            </w:r>
          </w:p>
        </w:tc>
        <w:tc>
          <w:tcPr>
            <w:tcW w:type="dxa" w:w="386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top"/>
          </w:tcPr>
          <w:p>
            <w:r>
              <w:rPr>
                <w:rFonts w:ascii="Arial" w:cs="Arial" w:eastAsia="Arial" w:hAnsi="Arial"/>
                <w:color w:val="1A1A1A"/>
                <w:sz w:val="20"/>
                <w:szCs w:val="20"/>
              </w:rPr>
              <w:t xml:space="preserve">Re-extraction window; cost-bound</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1F4E79"/>
      <w:sz w:val="36"/>
      <w:szCs w:val="36"/>
    </w:rPr>
  </w:style>
  <w:style w:type="paragraph" w:styleId="Heading2">
    <w:name w:val="Heading 2"/>
    <w:basedOn w:val="Normal"/>
    <w:next w:val="Normal"/>
    <w:qFormat/>
    <w:pPr>
      <w:spacing w:before="240" w:after="80"/>
      <w:outlineLvl w:val="1"/>
    </w:pPr>
    <w:rPr>
      <w:rFonts w:ascii="Arial" w:cs="Arial" w:eastAsia="Arial" w:hAnsi="Arial"/>
      <w:b/>
      <w:bCs/>
      <w:color w:val="1F4E79"/>
      <w:sz w:val="28"/>
      <w:szCs w:val="28"/>
    </w:rPr>
  </w:style>
  <w:style w:type="paragraph" w:styleId="Heading3">
    <w:name w:val="Heading 3"/>
    <w:basedOn w:val="Normal"/>
    <w:next w:val="Normal"/>
    <w:qFormat/>
    <w:pPr>
      <w:spacing w:before="180" w:after="6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2026-03-29T16:08:11.370Z</dcterms:created>
  <dcterms:modified xsi:type="dcterms:W3CDTF">2026-03-29T16:08:11.370Z</dcterms:modified>
</cp:coreProperties>
</file>

<file path=docProps/custom.xml><?xml version="1.0" encoding="utf-8"?>
<Properties xmlns="http://schemas.openxmlformats.org/officeDocument/2006/custom-properties" xmlns:vt="http://schemas.openxmlformats.org/officeDocument/2006/docPropsVTypes"/>
</file>