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Execution Plan: Seeded Trusted Source URLs</w:t>
      </w:r>
    </w:p>
    <w:p>
      <w:pPr>
        <w:spacing w:after="40"/>
      </w:pPr>
      <w:r>
        <w:rPr>
          <w:i/>
          <w:color w:val="5C636A"/>
          <w:sz w:val="22"/>
        </w:rPr>
        <w:t>Seeded trusted source URL operating pack</w:t>
      </w:r>
    </w:p>
    <w:p>
      <w:pPr>
        <w:spacing w:after="200"/>
      </w:pPr>
      <w:r>
        <w:pict>
          <v:rect style="width:420pt;height:4pt" fillcolor="#1F4E79" stroked="f"/>
        </w:pict>
      </w:r>
    </w:p>
    <w:p>
      <w:r>
        <w:rPr>
          <w:b/>
        </w:rPr>
        <w:t xml:space="preserve">Purpose. </w:t>
      </w:r>
      <w:r>
        <w:t>Implement a controlled V1 ingestion model in which every candidate URL originates from a registered trusted source. This replaces the current hardcoded discovery stub with a registry-driven workflow that is safe, measurable, and ready for scoring.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92"/>
      </w:tblGrid>
      <w:tr>
        <w:tc>
          <w:tcPr>
            <w:tcW w:type="dxa" w:w="9792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F4E79"/>
              </w:rPr>
              <w:t>Definition of done for V1</w:t>
            </w:r>
          </w:p>
        </w:tc>
      </w:tr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ind w:left="216"/>
            </w:pPr>
            <w:r>
              <w:t>• A TrustedSource registry exists in the database and can be seeded with approved sources.</w:t>
            </w:r>
          </w:p>
        </w:tc>
      </w:tr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ind w:left="216"/>
            </w:pPr>
            <w:r>
              <w:t>• runDiscovery() loads active sources, creates candidates, prevents obvious duplicates, and queues fetch jobs.</w:t>
            </w:r>
          </w:p>
        </w:tc>
      </w:tr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ind w:left="216"/>
            </w:pPr>
            <w:r>
              <w:t>• Fetch stores real response metadata and raw payloads for reprocessing.</w:t>
            </w:r>
          </w:p>
        </w:tc>
      </w:tr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ind w:left="216"/>
            </w:pPr>
            <w:r>
              <w:t>• Extraction prioritises JSON-LD, then source-type parsing, then generic fallback.</w:t>
            </w:r>
          </w:p>
        </w:tc>
      </w:tr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ind w:left="216"/>
            </w:pPr>
            <w:r>
              <w:t>• Scoring incorporates source trust and extraction completeness.</w:t>
            </w:r>
          </w:p>
        </w:tc>
      </w:tr>
    </w:tbl>
    <w:p/>
    <w:p>
      <w:pPr>
        <w:pStyle w:val="Heading1"/>
      </w:pPr>
      <w:r>
        <w:t>1. Scope and operating principles</w:t>
      </w:r>
    </w:p>
    <w:p>
      <w:pPr>
        <w:pStyle w:val="ListBullet"/>
      </w:pPr>
      <w:r>
        <w:t>Every candidate must come from a registered trusted source.</w:t>
      </w:r>
    </w:p>
    <w:p>
      <w:pPr>
        <w:pStyle w:val="ListBullet"/>
      </w:pPr>
      <w:r>
        <w:t>Start with seeded source URLs, not open-ended crawling.</w:t>
      </w:r>
    </w:p>
    <w:p>
      <w:pPr>
        <w:pStyle w:val="ListBullet"/>
      </w:pPr>
      <w:r>
        <w:t>Optimise first for traceability, source health, and clean scoring signals.</w:t>
      </w:r>
    </w:p>
    <w:p>
      <w:pPr>
        <w:pStyle w:val="ListBullet"/>
      </w:pPr>
      <w:r>
        <w:t>Keep per-source rules in configuration, not inside generic discovery logic.</w:t>
      </w:r>
    </w:p>
    <w:p>
      <w:pPr>
        <w:pStyle w:val="Heading1"/>
      </w:pPr>
      <w:r>
        <w:t>2.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264"/>
        <w:gridCol w:w="3264"/>
        <w:gridCol w:w="3264"/>
      </w:tblGrid>
      <w:tr>
        <w:tc>
          <w:tcPr>
            <w:tcW w:type="dxa" w:w="2304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Deliverable</w:t>
            </w:r>
          </w:p>
        </w:tc>
        <w:tc>
          <w:tcPr>
            <w:tcW w:type="dxa" w:w="187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Owner</w:t>
            </w:r>
          </w:p>
        </w:tc>
        <w:tc>
          <w:tcPr>
            <w:tcW w:type="dxa" w:w="4896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Output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TrustedSource schema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Prisma model plus migration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Initial registry seed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Ops / Content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20–50 approved source records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Discovery rewrite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Registry-driven candidate creation and queueing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Fetch metadata upgrade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 code, content type, resolved URL, hash, timestamp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Source-aware extraction order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JSON-LD → source parser → fallback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health reporting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 / Ops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Success, extraction, export, and failure metrics</w:t>
            </w:r>
          </w:p>
        </w:tc>
      </w:tr>
    </w:tbl>
    <w:p/>
    <w:p>
      <w:pPr>
        <w:pStyle w:val="Heading1"/>
      </w:pPr>
      <w:r>
        <w:t>3. Proposed TrustedSource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Field</w:t>
            </w:r>
          </w:p>
        </w:tc>
        <w:tc>
          <w:tcPr>
            <w:tcW w:type="dxa" w:w="187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Type</w:t>
            </w:r>
          </w:p>
        </w:tc>
        <w:tc>
          <w:tcPr>
            <w:tcW w:type="dxa" w:w="4608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Why it exists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name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Human-readable source label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domain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Primary domain for allowlisting and scoring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seedUrl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string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Approved page or feed to ingest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sourceType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enum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Controls parsing strategy and workflow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trustTier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enum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High / medium / low trust weighting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enum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ACTIVE, PAUSED, or ARCHIVED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allowedPathPatterns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json[]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Limits child discovery to approved paths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blockedPathPatterns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json[]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Suppresses noisy or unsafe areas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extractorType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enum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generic, listing_page, event_page, feed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crawlDepth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Caps expansion depth for later phases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maxUrlsPerRun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Protects the queue from runaway growth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lastSuccessAt / failureCount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datetime / int</w:t>
            </w:r>
          </w:p>
        </w:tc>
        <w:tc>
          <w:tcPr>
            <w:tcW w:type="dxa" w:w="3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Supports source health and throttling</w:t>
            </w:r>
          </w:p>
        </w:tc>
      </w:tr>
    </w:tbl>
    <w:p/>
    <w:p>
      <w:pPr>
        <w:pStyle w:val="Heading1"/>
      </w:pPr>
      <w:r>
        <w:t>4. MiningCandidate additions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896"/>
        <w:gridCol w:w="4896"/>
      </w:tblGrid>
      <w:tr>
        <w:tc>
          <w:tcPr>
            <w:tcW w:type="dxa" w:w="331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Field</w:t>
            </w:r>
          </w:p>
        </w:tc>
        <w:tc>
          <w:tcPr>
            <w:tcW w:type="dxa" w:w="5760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Use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sourceId, sourceDomain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Trace each candidate back to its source record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discoveredFromUrl, discoveryMethod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Distinguish seeded registry from later child-link discovery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canonicalUrl, fetchStatusCode, fetchContentType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Debug fetch quality and support deduplication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rawHash, parserType, retryCount, lastError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Support retry control, parsing insight, and triage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entityType, region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Improve scoring and export routing</w:t>
            </w:r>
          </w:p>
        </w:tc>
      </w:tr>
    </w:tbl>
    <w:p/>
    <w:p>
      <w:pPr>
        <w:pStyle w:val="Heading1"/>
      </w:pPr>
      <w:r>
        <w:t>5. Delivery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896"/>
        <w:gridCol w:w="4896"/>
      </w:tblGrid>
      <w:tr>
        <w:tc>
          <w:tcPr>
            <w:tcW w:type="dxa" w:w="1440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Sprint</w:t>
            </w:r>
          </w:p>
        </w:tc>
        <w:tc>
          <w:tcPr>
            <w:tcW w:type="dxa" w:w="763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Task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1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 TrustedSource model, migration, seed script, and registry records.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1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Rewrite discovery to load active sources and create one candidate per seed URL.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2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Replace mock fetch with real HTTP retrieval and payload metadata capture.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2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Implement extraction order: JSON-LD, source parser, generic fallback.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3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 discovery-time duplicate suppression and source health metrics.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Sprint 4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Tune scoring with trust tier, extraction completeness, and historical source performance.</w:t>
            </w:r>
          </w:p>
        </w:tc>
      </w:tr>
    </w:tbl>
    <w:p/>
    <w:p>
      <w:pPr>
        <w:pStyle w:val="Heading1"/>
      </w:pPr>
      <w:r>
        <w:t>6. Source seed acceptance rules</w:t>
      </w:r>
    </w:p>
    <w:p>
      <w:pPr>
        <w:pStyle w:val="ListBullet"/>
      </w:pPr>
      <w:r>
        <w:t>Publicly accessible without login requirements for the normal path.</w:t>
      </w:r>
    </w:p>
    <w:p>
      <w:pPr>
        <w:pStyle w:val="ListBullet"/>
      </w:pPr>
      <w:r>
        <w:t>Stable page structure or structured data likely to be present.</w:t>
      </w:r>
    </w:p>
    <w:p>
      <w:pPr>
        <w:pStyle w:val="ListBullet"/>
      </w:pPr>
      <w:r>
        <w:t>Relevant to the art / exhibition / event use case.</w:t>
      </w:r>
    </w:p>
    <w:p>
      <w:pPr>
        <w:pStyle w:val="ListBullet"/>
      </w:pPr>
      <w:r>
        <w:t>Reasonable update cadence and acceptable duplication risk.</w:t>
      </w:r>
    </w:p>
    <w:p>
      <w:pPr>
        <w:pStyle w:val="ListBullet"/>
      </w:pPr>
      <w:r>
        <w:t>No obvious anti-bot, legal, or operational blocker for approved fetching.</w:t>
      </w:r>
    </w:p>
    <w:p>
      <w:pPr>
        <w:pStyle w:val="Heading1"/>
      </w:pPr>
      <w:r>
        <w:t>7. First-source shortlist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896"/>
        <w:gridCol w:w="4896"/>
      </w:tblGrid>
      <w:tr>
        <w:tc>
          <w:tcPr>
            <w:tcW w:type="dxa" w:w="2880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Column</w:t>
            </w:r>
          </w:p>
        </w:tc>
        <w:tc>
          <w:tcPr>
            <w:tcW w:type="dxa" w:w="5472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Example value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name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Example Gallery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Domain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examplegallery.org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Seed URL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https://examplegallery.org/exhibitions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type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gallery_programme_page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Region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London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 tier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high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Extractor type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listing_page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Notes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Likely JSON-LD, recurring exhibition updates</w:t>
            </w:r>
          </w:p>
        </w:tc>
      </w:tr>
    </w:tbl>
    <w:p/>
    <w:p>
      <w:pPr>
        <w:pStyle w:val="Heading1"/>
      </w:pPr>
      <w:r>
        <w:t>8. Risks and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896"/>
        <w:gridCol w:w="4896"/>
      </w:tblGrid>
      <w:tr>
        <w:tc>
          <w:tcPr>
            <w:tcW w:type="dxa" w:w="3168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Risk</w:t>
            </w:r>
          </w:p>
        </w:tc>
        <w:tc>
          <w:tcPr>
            <w:tcW w:type="dxa" w:w="5328"/>
            <w:shd w:fill="DCE6F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</w:rPr>
              <w:t>Control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Duplicate queue growth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Suppress same source URL within a freshness window unless the prior attempt failed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Weak extraction quality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Prefer structured data and source-type parsers before fallback extraction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drift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Track success and extraction rates per source; pause noisy sources quickly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Unsafe expansion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Keep V1 to seed URLs only; introduce child-link discovery behind allowlist rules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Poor scoring signal quality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Carry source metadata through every stage and add trust-derived scoring signals</w:t>
            </w:r>
          </w:p>
        </w:tc>
      </w:tr>
    </w:tbl>
    <w:p/>
    <w:p>
      <w:pPr>
        <w:pStyle w:val="Heading1"/>
      </w:pPr>
      <w:r>
        <w:t>9. Immediate next actions</w:t>
      </w:r>
    </w:p>
    <w:p>
      <w:pPr>
        <w:pStyle w:val="ListNumber"/>
      </w:pPr>
      <w:r>
        <w:t>Approve the initial source schema and field names.</w:t>
      </w:r>
    </w:p>
    <w:p>
      <w:pPr>
        <w:pStyle w:val="ListNumber"/>
      </w:pPr>
      <w:r>
        <w:t>Assemble the first 20–50 trusted source URLs.</w:t>
      </w:r>
    </w:p>
    <w:p>
      <w:pPr>
        <w:pStyle w:val="ListNumber"/>
      </w:pPr>
      <w:r>
        <w:t>Implement the Prisma migration and seed script.</w:t>
      </w:r>
    </w:p>
    <w:p>
      <w:pPr>
        <w:pStyle w:val="ListNumber"/>
      </w:pPr>
      <w:r>
        <w:t>Rewrite runDiscovery() to use registry records.</w:t>
      </w:r>
    </w:p>
    <w:p>
      <w:pPr>
        <w:pStyle w:val="ListNumber"/>
      </w:pPr>
      <w:r>
        <w:t>Switch fetch from mock payloads to live approved retrieval.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