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4"/>
        </w:rPr>
        <w:t>Execution Prompt Pack</w:t>
      </w:r>
    </w:p>
    <w:p>
      <w:pPr>
        <w:spacing w:after="40"/>
      </w:pPr>
      <w:r>
        <w:rPr>
          <w:i/>
          <w:color w:val="5C636A"/>
          <w:sz w:val="22"/>
        </w:rPr>
        <w:t>Seeded trusted source URL operating pack</w:t>
      </w:r>
    </w:p>
    <w:p>
      <w:pPr>
        <w:spacing w:after="200"/>
      </w:pPr>
      <w:r>
        <w:pict>
          <v:rect style="width:420pt;height:4pt" fillcolor="#1F4E79" stroked="f"/>
        </w:pict>
      </w:r>
    </w:p>
    <w:p>
      <w:r>
        <w:rPr>
          <w:b/>
        </w:rPr>
        <w:t xml:space="preserve">Use this prompt with an engineering agent or implementation assistant. </w:t>
      </w:r>
      <w:r>
        <w:t>It is written to produce the first working registry-driven discovery version without open-ended crawling.</w:t>
      </w:r>
    </w:p>
    <w:p>
      <w:pPr>
        <w:pStyle w:val="Heading1"/>
      </w:pPr>
      <w:r>
        <w:t>Prompt to execute</w:t>
      </w:r>
    </w:p>
    <w:p>
      <w:pPr/>
    </w:p>
    <w:p>
      <w:pPr>
        <w:spacing w:after="160"/>
        <w:ind w:left="288" w:right="288"/>
        <w:shd w:fill="F7F9FC"/>
      </w:pPr>
      <w:r>
        <w:t>You are implementing the seeded trusted source URL plan in the existing art crawler codebase. The goal is to replace the hardcoded discovery stub with a registry-driven workflow where every candidate URL comes from an approved TrustedSource record.</w:t>
      </w:r>
    </w:p>
    <w:p>
      <w:pPr>
        <w:spacing w:after="160"/>
        <w:ind w:left="288" w:right="288"/>
      </w:pPr>
      <w:r>
        <w:rPr>
          <w:b/>
        </w:rPr>
        <w:t>Deliver the following in one pass:</w:t>
        <w:br/>
        <w:t>1. Add a TrustedSource model to Prisma with fields for name, domain, seedUrl, sourceType, region, trustTier, status, allowedPathPatterns, blockedPathPatterns, extractorType, crawlDepth, maxUrlsPerRun, lastDiscoveredAt, lastSuccessAt, lastFailureAt, failureCount, notes, createdAt, and updatedAt.</w:t>
        <w:br/>
        <w:t>2. Extend MiningCandidate so it stores sourceId, sourceDomain, discoveredFromUrl, canonicalUrl, fetchStatusCode, fetchContentType, rawHash, parserType, discoveryMethod, entityType, region, retryCount, and lastError.</w:t>
        <w:br/>
        <w:t>3. Write a seed script that inserts an initial TrustedSource dataset using a typed source registry file.</w:t>
        <w:br/>
        <w:t>4. Rewrite runDiscovery() so it loads ACTIVE TrustedSource records, skips paused or unhealthy sources, prevents duplicate candidate creation for recently seen URLs, creates one candidate per seedUrl for V1, tags discoveryMethod as seeded_registry, and enqueues fetch jobs.</w:t>
        <w:br/>
        <w:t>5. Replace the mock fetch path with real HTTP retrieval for approved candidate URLs. Store raw payload, resolved URL, status code, content type, fetched timestamp, and a content hash.</w:t>
        <w:br/>
        <w:t>6. Implement extraction order as JSON-LD first, then source-type parsing, then generic fallback.</w:t>
        <w:br/>
        <w:t>7. Add source-derived scoring signals based on trustTier, extraction completeness, structured-data presence, and historical source performance.</w:t>
        <w:br/>
        <w:t>8. Add basic source health reporting covering discovery success, fetch success, extraction success, export yield, and failure count.</w:t>
      </w:r>
    </w:p>
    <w:p>
      <w:pPr>
        <w:spacing w:after="160"/>
        <w:ind w:left="288" w:right="288"/>
      </w:pPr>
      <w:r>
        <w:rPr>
          <w:b/>
        </w:rPr>
        <w:t>Constraints:</w:t>
        <w:br/>
        <w:t>- Do not introduce open-ended crawling in this pass.</w:t>
        <w:br/>
        <w:t>- Keep all per-source behaviour in config or source metadata, not hardcoded into generic discovery.</w:t>
        <w:br/>
        <w:t>- Make the change production-safe, observable, and easy to extend later for child-link discovery.</w:t>
        <w:br/>
        <w:t>- Preserve existing pipeline stages wherever possible.</w:t>
      </w:r>
    </w:p>
    <w:p>
      <w:pPr>
        <w:spacing w:after="160"/>
        <w:ind w:left="288" w:right="288"/>
      </w:pPr>
      <w:r>
        <w:rPr>
          <w:b/>
        </w:rPr>
        <w:t>Output required:</w:t>
        <w:br/>
        <w:t>- Prisma schema changes</w:t>
        <w:br/>
        <w:t>- Migration outline</w:t>
        <w:br/>
        <w:t>- New or updated TypeScript types</w:t>
        <w:br/>
        <w:t>- Revised discovery flow</w:t>
        <w:br/>
        <w:t>- Seed script</w:t>
        <w:br/>
        <w:t>- Notes for any follow-on work still deferred to phase two</w:t>
      </w:r>
    </w:p>
    <w:p>
      <w:pPr>
        <w:pStyle w:val="Heading1"/>
      </w:pPr>
      <w:r>
        <w:t>Execution notes</w:t>
      </w:r>
    </w:p>
    <w:p>
      <w:pPr>
        <w:pStyle w:val="ListBullet"/>
      </w:pPr>
      <w:r>
        <w:t>Run this against the current repository after you have a branch and migration path ready.</w:t>
      </w:r>
    </w:p>
    <w:p>
      <w:pPr>
        <w:pStyle w:val="ListBullet"/>
      </w:pPr>
      <w:r>
        <w:t>Pair the prompt with the execution plan document so the implementation stays aligned with the V1 scope.</w:t>
      </w:r>
    </w:p>
    <w:p>
      <w:pPr>
        <w:pStyle w:val="ListBullet"/>
      </w:pPr>
      <w:r>
        <w:t>Keep the first pass narrow: seed URLs only, source health visibility, and improved fetch / extract / score metadata.</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125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