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480"/>
      </w:pPr>
      <w:r>
        <w:rPr>
          <w:rFonts w:ascii="Arial" w:cs="Arial" w:eastAsia="Arial" w:hAnsi="Arial"/>
          <w:b/>
          <w:bCs/>
          <w:color w:val="1E293B"/>
          <w:sz w:val="40"/>
          <w:szCs w:val="40"/>
        </w:rPr>
        <w:t xml:space="preserve">Artio — Ingest &amp; Discovery System</w:t>
      </w:r>
    </w:p>
    <w:p>
      <w:pPr>
        <w:spacing w:after="200" w:before="100"/>
      </w:pPr>
      <w:r>
        <w:rPr>
          <w:rFonts w:ascii="Arial" w:cs="Arial" w:eastAsia="Arial" w:hAnsi="Arial"/>
          <w:i/>
          <w:iCs/>
          <w:color w:val="64748B"/>
          <w:sz w:val="22"/>
          <w:szCs w:val="22"/>
        </w:rPr>
        <w:t xml:space="preserve">Technical Specification   |   March 2026</w:t>
      </w:r>
    </w:p>
    <w:p>
      <w:pPr>
        <w:pBdr>
          <w:bottom w:val="single" w:color="E2E8F0" w:sz="3"/>
        </w:pBdr>
        <w:spacing w:after="200" w:before="200"/>
      </w:pPr>
    </w:p>
    <w:p>
      <w:pPr>
        <w:pStyle w:val="Heading2"/>
        <w:pBdr>
          <w:bottom w:val="single" w:color="E2E8F0" w:sz="3"/>
        </w:pBdr>
        <w:spacing w:after="160" w:before="360"/>
      </w:pPr>
      <w:r>
        <w:rPr>
          <w:rFonts w:ascii="Arial" w:cs="Arial" w:eastAsia="Arial" w:hAnsi="Arial"/>
          <w:b/>
          <w:bCs/>
          <w:color w:val="1E293B"/>
          <w:sz w:val="30"/>
          <w:szCs w:val="30"/>
        </w:rPr>
        <w:t xml:space="preserve">1. Executive summary</w:t>
      </w:r>
    </w:p>
    <w:p>
      <w:pPr>
        <w:spacing w:after="100" w:before="80"/>
      </w:pPr>
      <w:r>
        <w:rPr>
          <w:rFonts w:ascii="Arial" w:cs="Arial" w:eastAsia="Arial" w:hAnsi="Arial"/>
          <w:color w:val="1E293B"/>
          <w:sz w:val="22"/>
          <w:szCs w:val="22"/>
        </w:rPr>
        <w:t xml:space="preserve">Artio's ingest and discovery system is a multi-stage pipeline that finds art venues and events on the web, extracts structured data, scores confidence, deduplicates, and feeds curated records to the admin moderation queue. It operates across four entity types — events, venues, artists, and artworks — with independent confidence scoring models for each.</w:t>
      </w:r>
    </w:p>
    <w:p>
      <w:pPr>
        <w:spacing w:after="100" w:before="80"/>
      </w:pPr>
      <w:r>
        <w:rPr>
          <w:rFonts w:ascii="Arial" w:cs="Arial" w:eastAsia="Arial" w:hAnsi="Arial"/>
          <w:color w:val="1E293B"/>
          <w:sz w:val="22"/>
          <w:szCs w:val="22"/>
        </w:rPr>
        <w:t xml:space="preserve">The system runs primarily as a set of cron-triggered workers on Vercel, using Neon Postgres as the shared state store. All AI extraction is provider-agnostic (OpenAI, Gemini, Claude), controlled through SiteSettings in the database. No extraction happens without an explicit admin enable flag.</w:t>
      </w:r>
    </w:p>
    <w:p>
      <w:pPr>
        <w:spacing w:after="0" w:before="120"/>
      </w:pPr>
    </w:p>
    <w:p>
      <w:pPr>
        <w:pStyle w:val="Heading2"/>
        <w:pBdr>
          <w:bottom w:val="single" w:color="E2E8F0" w:sz="3"/>
        </w:pBdr>
        <w:spacing w:after="160" w:before="360"/>
      </w:pPr>
      <w:r>
        <w:rPr>
          <w:rFonts w:ascii="Arial" w:cs="Arial" w:eastAsia="Arial" w:hAnsi="Arial"/>
          <w:b/>
          <w:bCs/>
          <w:color w:val="1E293B"/>
          <w:sz w:val="30"/>
          <w:szCs w:val="30"/>
        </w:rPr>
        <w:t xml:space="preserve">2. System architecture</w:t>
      </w:r>
    </w:p>
    <w:p>
      <w:pPr>
        <w:pStyle w:val="Heading3"/>
        <w:spacing w:after="100" w:before="240"/>
      </w:pPr>
      <w:r>
        <w:rPr>
          <w:rFonts w:ascii="Arial" w:cs="Arial" w:eastAsia="Arial" w:hAnsi="Arial"/>
          <w:b/>
          <w:bCs/>
          <w:color w:val="334155"/>
          <w:sz w:val="24"/>
          <w:szCs w:val="24"/>
        </w:rPr>
        <w:t xml:space="preserve">2.1 Pipeline stages</w:t>
      </w:r>
    </w:p>
    <w:p>
      <w:pPr>
        <w:spacing w:after="100" w:before="80"/>
      </w:pPr>
      <w:r>
        <w:rPr>
          <w:rFonts w:ascii="Arial" w:cs="Arial" w:eastAsia="Arial" w:hAnsi="Arial"/>
          <w:color w:val="1E293B"/>
          <w:sz w:val="22"/>
          <w:szCs w:val="22"/>
        </w:rPr>
        <w:t xml:space="preserve">The pipeline has five distinct stages that always execute in order:</w:t>
      </w:r>
    </w:p>
    <w:p>
      <w:pPr>
        <w:pStyle w:val="ListParagraph"/>
        <w:numPr>
          <w:ilvl w:val="0"/>
          <w:numId w:val="2"/>
        </w:numPr>
        <w:spacing w:after="60" w:before="60"/>
      </w:pPr>
      <w:r>
        <w:rPr>
          <w:rFonts w:ascii="Arial" w:cs="Arial" w:eastAsia="Arial" w:hAnsi="Arial"/>
          <w:color w:val="1E293B"/>
          <w:sz w:val="22"/>
          <w:szCs w:val="22"/>
        </w:rPr>
        <w:t xml:space="preserve">Discovery — find new venue URLs for a given region using search provider queries</w:t>
      </w:r>
    </w:p>
    <w:p>
      <w:pPr>
        <w:pStyle w:val="ListParagraph"/>
        <w:numPr>
          <w:ilvl w:val="0"/>
          <w:numId w:val="2"/>
        </w:numPr>
        <w:spacing w:after="60" w:before="60"/>
      </w:pPr>
      <w:r>
        <w:rPr>
          <w:rFonts w:ascii="Arial" w:cs="Arial" w:eastAsia="Arial" w:hAnsi="Arial"/>
          <w:color w:val="1E293B"/>
          <w:sz w:val="22"/>
          <w:szCs w:val="22"/>
        </w:rPr>
        <w:t xml:space="preserve">Fetch — download HTML from venue websites with SSRF guards and platform detection</w:t>
      </w:r>
    </w:p>
    <w:p>
      <w:pPr>
        <w:pStyle w:val="ListParagraph"/>
        <w:numPr>
          <w:ilvl w:val="0"/>
          <w:numId w:val="2"/>
        </w:numPr>
        <w:spacing w:after="60" w:before="60"/>
      </w:pPr>
      <w:r>
        <w:rPr>
          <w:rFonts w:ascii="Arial" w:cs="Arial" w:eastAsia="Arial" w:hAnsi="Arial"/>
          <w:color w:val="1E293B"/>
          <w:sz w:val="22"/>
          <w:szCs w:val="22"/>
        </w:rPr>
        <w:t xml:space="preserve">Extraction — parse HTML via JSON-LD fast path or AI provider fallback</w:t>
      </w:r>
    </w:p>
    <w:p>
      <w:pPr>
        <w:pStyle w:val="ListParagraph"/>
        <w:numPr>
          <w:ilvl w:val="0"/>
          <w:numId w:val="2"/>
        </w:numPr>
        <w:spacing w:after="60" w:before="60"/>
      </w:pPr>
      <w:r>
        <w:rPr>
          <w:rFonts w:ascii="Arial" w:cs="Arial" w:eastAsia="Arial" w:hAnsi="Arial"/>
          <w:color w:val="1E293B"/>
          <w:sz w:val="22"/>
          <w:szCs w:val="22"/>
        </w:rPr>
        <w:t xml:space="preserve">Scoring &amp; deduplication — compute confidence, cluster near-duplicates, fingerprint</w:t>
      </w:r>
    </w:p>
    <w:p>
      <w:pPr>
        <w:pStyle w:val="ListParagraph"/>
        <w:numPr>
          <w:ilvl w:val="0"/>
          <w:numId w:val="2"/>
        </w:numPr>
        <w:spacing w:after="60" w:before="60"/>
      </w:pPr>
      <w:r>
        <w:rPr>
          <w:rFonts w:ascii="Arial" w:cs="Arial" w:eastAsia="Arial" w:hAnsi="Arial"/>
          <w:color w:val="1E293B"/>
          <w:sz w:val="22"/>
          <w:szCs w:val="22"/>
        </w:rPr>
        <w:t xml:space="preserve">Persistence — write candidates to IngestExtractedEvent, update IngestRun telemetry</w:t>
      </w:r>
    </w:p>
    <w:p>
      <w:pPr>
        <w:spacing w:after="0" w:before="120"/>
      </w:pPr>
    </w:p>
    <w:p>
      <w:pPr>
        <w:pStyle w:val="Heading3"/>
        <w:spacing w:after="100" w:before="240"/>
      </w:pPr>
      <w:r>
        <w:rPr>
          <w:rFonts w:ascii="Arial" w:cs="Arial" w:eastAsia="Arial" w:hAnsi="Arial"/>
          <w:b/>
          <w:bCs/>
          <w:color w:val="334155"/>
          <w:sz w:val="24"/>
          <w:szCs w:val="24"/>
        </w:rPr>
        <w:t xml:space="preserve">2.2 Entry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1E293B"/>
                <w:sz w:val="20"/>
                <w:szCs w:val="20"/>
              </w:rPr>
              <w:t xml:space="preserve">Cron tick</w:t>
            </w:r>
          </w:p>
        </w:tc>
        <w:tc>
          <w:tcPr>
            <w:tcW w:type="dxa" w:w="648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POST /api/cron/tick — external ping every 5 min, dispatches sub-jobs</w:t>
            </w:r>
          </w:p>
        </w:tc>
      </w:tr>
      <w:tr>
        <w:tc>
          <w:tcPr>
            <w:tcW w:type="dxa" w:w="28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E293B"/>
                <w:sz w:val="20"/>
                <w:szCs w:val="20"/>
              </w:rPr>
              <w:t xml:space="preserve">Venue ingest</w:t>
            </w:r>
          </w:p>
        </w:tc>
        <w:tc>
          <w:tcPr>
            <w:tcW w:type="dxa" w:w="64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GET|POST /api/cron/ingest/venues — runs extraction for N venues</w:t>
            </w:r>
          </w:p>
        </w:tc>
      </w:tr>
      <w:tr>
        <w:tc>
          <w:tcPr>
            <w:tcW w:type="dxa" w:w="288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1E293B"/>
                <w:sz w:val="20"/>
                <w:szCs w:val="20"/>
              </w:rPr>
              <w:t xml:space="preserve">Discovery</w:t>
            </w:r>
          </w:p>
        </w:tc>
        <w:tc>
          <w:tcPr>
            <w:tcW w:type="dxa" w:w="648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GET|POST /api/cron/ingest/discovery — processes queued URL candidates</w:t>
            </w:r>
          </w:p>
        </w:tc>
      </w:tr>
      <w:tr>
        <w:tc>
          <w:tcPr>
            <w:tcW w:type="dxa" w:w="28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E293B"/>
                <w:sz w:val="20"/>
                <w:szCs w:val="20"/>
              </w:rPr>
              <w:t xml:space="preserve">Artist ingest</w:t>
            </w:r>
          </w:p>
        </w:tc>
        <w:tc>
          <w:tcPr>
            <w:tcW w:type="dxa" w:w="64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GET|POST /api/cron/ingest/backfill-artists — artist discovery from events</w:t>
            </w:r>
          </w:p>
        </w:tc>
      </w:tr>
      <w:tr>
        <w:tc>
          <w:tcPr>
            <w:tcW w:type="dxa" w:w="288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1E293B"/>
                <w:sz w:val="20"/>
                <w:szCs w:val="20"/>
              </w:rPr>
              <w:t xml:space="preserve">Artwork ingest</w:t>
            </w:r>
          </w:p>
        </w:tc>
        <w:tc>
          <w:tcPr>
            <w:tcW w:type="dxa" w:w="648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GET|POST /api/cron/ingest/backfill-artworks — artwork from events</w:t>
            </w:r>
          </w:p>
        </w:tc>
      </w:tr>
      <w:tr>
        <w:tc>
          <w:tcPr>
            <w:tcW w:type="dxa" w:w="28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E293B"/>
                <w:sz w:val="20"/>
                <w:szCs w:val="20"/>
              </w:rPr>
              <w:t xml:space="preserve">Region discovery</w:t>
            </w:r>
          </w:p>
        </w:tc>
        <w:tc>
          <w:tcPr>
            <w:tcW w:type="dxa" w:w="64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GET|POST /api/cron/ingest/regions — search for venues in a region</w:t>
            </w:r>
          </w:p>
        </w:tc>
      </w:tr>
      <w:tr>
        <w:tc>
          <w:tcPr>
            <w:tcW w:type="dxa" w:w="288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1E293B"/>
                <w:sz w:val="20"/>
                <w:szCs w:val="20"/>
              </w:rPr>
              <w:t xml:space="preserve">Admin trigger</w:t>
            </w:r>
          </w:p>
        </w:tc>
        <w:tc>
          <w:tcPr>
            <w:tcW w:type="dxa" w:w="648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POST /api/admin/ops/cron-trigger — manual dispatch from admin panel</w:t>
            </w:r>
          </w:p>
        </w:tc>
      </w:tr>
    </w:tbl>
    <w:p>
      <w:pPr>
        <w:spacing w:after="0" w:before="120"/>
      </w:pPr>
    </w:p>
    <w:p>
      <w:pPr>
        <w:pStyle w:val="Heading3"/>
        <w:spacing w:after="100" w:before="240"/>
      </w:pPr>
      <w:r>
        <w:rPr>
          <w:rFonts w:ascii="Arial" w:cs="Arial" w:eastAsia="Arial" w:hAnsi="Arial"/>
          <w:b/>
          <w:bCs/>
          <w:color w:val="334155"/>
          <w:sz w:val="24"/>
          <w:szCs w:val="24"/>
        </w:rPr>
        <w:t xml:space="preserve">2.3 Data stores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1E293B"/>
                <w:sz w:val="20"/>
                <w:szCs w:val="20"/>
              </w:rPr>
              <w:t xml:space="preserve">IngestRun</w:t>
            </w:r>
          </w:p>
        </w:tc>
        <w:tc>
          <w:tcPr>
            <w:tcW w:type="dxa" w:w="648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One row per venue extraction run — status, timing, token usage, stop reason</w:t>
            </w:r>
          </w:p>
        </w:tc>
      </w:tr>
      <w:tr>
        <w:tc>
          <w:tcPr>
            <w:tcW w:type="dxa" w:w="28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E293B"/>
                <w:sz w:val="20"/>
                <w:szCs w:val="20"/>
              </w:rPr>
              <w:t xml:space="preserve">IngestExtractedEvent</w:t>
            </w:r>
          </w:p>
        </w:tc>
        <w:tc>
          <w:tcPr>
            <w:tcW w:type="dxa" w:w="64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Candidate events with confidence score, band, fingerprint, cluster key</w:t>
            </w:r>
          </w:p>
        </w:tc>
      </w:tr>
      <w:tr>
        <w:tc>
          <w:tcPr>
            <w:tcW w:type="dxa" w:w="288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1E293B"/>
                <w:sz w:val="20"/>
                <w:szCs w:val="20"/>
              </w:rPr>
              <w:t xml:space="preserve">IngestExtractedArtist</w:t>
            </w:r>
          </w:p>
        </w:tc>
        <w:tc>
          <w:tcPr>
            <w:tcW w:type="dxa" w:w="648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Candidate artists discovered from events</w:t>
            </w:r>
          </w:p>
        </w:tc>
      </w:tr>
      <w:tr>
        <w:tc>
          <w:tcPr>
            <w:tcW w:type="dxa" w:w="28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E293B"/>
                <w:sz w:val="20"/>
                <w:szCs w:val="20"/>
              </w:rPr>
              <w:t xml:space="preserve">IngestExtractedArtwork</w:t>
            </w:r>
          </w:p>
        </w:tc>
        <w:tc>
          <w:tcPr>
            <w:tcW w:type="dxa" w:w="64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Candidate artworks from events or artist pages</w:t>
            </w:r>
          </w:p>
        </w:tc>
      </w:tr>
      <w:tr>
        <w:tc>
          <w:tcPr>
            <w:tcW w:type="dxa" w:w="288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1E293B"/>
                <w:sz w:val="20"/>
                <w:szCs w:val="20"/>
              </w:rPr>
              <w:t xml:space="preserve">IngestDiscoveryJob</w:t>
            </w:r>
          </w:p>
        </w:tc>
        <w:tc>
          <w:tcPr>
            <w:tcW w:type="dxa" w:w="648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Search query jobs per region — tracks yield, template performance</w:t>
            </w:r>
          </w:p>
        </w:tc>
      </w:tr>
      <w:tr>
        <w:tc>
          <w:tcPr>
            <w:tcW w:type="dxa" w:w="28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E293B"/>
                <w:sz w:val="20"/>
                <w:szCs w:val="20"/>
              </w:rPr>
              <w:t xml:space="preserve">IngestDiscoveryCandidate</w:t>
            </w:r>
          </w:p>
        </w:tc>
        <w:tc>
          <w:tcPr>
            <w:tcW w:type="dxa" w:w="64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Individual URLs found by discovery jobs</w:t>
            </w:r>
          </w:p>
        </w:tc>
      </w:tr>
      <w:tr>
        <w:tc>
          <w:tcPr>
            <w:tcW w:type="dxa" w:w="288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1E293B"/>
                <w:sz w:val="20"/>
                <w:szCs w:val="20"/>
              </w:rPr>
              <w:t xml:space="preserve">IngestRegion</w:t>
            </w:r>
          </w:p>
        </w:tc>
        <w:tc>
          <w:tcPr>
            <w:tcW w:type="dxa" w:w="648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Admin-configured regions with lastRunAt for scheduling</w:t>
            </w:r>
          </w:p>
        </w:tc>
      </w:tr>
      <w:tr>
        <w:tc>
          <w:tcPr>
            <w:tcW w:type="dxa" w:w="28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E293B"/>
                <w:sz w:val="20"/>
                <w:szCs w:val="20"/>
              </w:rPr>
              <w:t xml:space="preserve">DiscoveryGoal</w:t>
            </w:r>
          </w:p>
        </w:tc>
        <w:tc>
          <w:tcPr>
            <w:tcW w:type="dxa" w:w="64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Target venue counts per region with progress tracking</w:t>
            </w:r>
          </w:p>
        </w:tc>
      </w:tr>
      <w:tr>
        <w:tc>
          <w:tcPr>
            <w:tcW w:type="dxa" w:w="288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1E293B"/>
                <w:sz w:val="20"/>
                <w:szCs w:val="20"/>
              </w:rPr>
              <w:t xml:space="preserve">EnrichmentRun</w:t>
            </w:r>
          </w:p>
        </w:tc>
        <w:tc>
          <w:tcPr>
            <w:tcW w:type="dxa" w:w="648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Enrichment batch runs for artists, artworks, venues</w:t>
            </w:r>
          </w:p>
        </w:tc>
      </w:tr>
      <w:tr>
        <w:tc>
          <w:tcPr>
            <w:tcW w:type="dxa" w:w="28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E293B"/>
                <w:sz w:val="20"/>
                <w:szCs w:val="20"/>
              </w:rPr>
              <w:t xml:space="preserve">SiteSettings</w:t>
            </w:r>
          </w:p>
        </w:tc>
        <w:tc>
          <w:tcPr>
            <w:tcW w:type="dxa" w:w="64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Master config: provider keys, feature flags, thresholds</w:t>
            </w:r>
          </w:p>
        </w:tc>
      </w:tr>
    </w:tbl>
    <w:p>
      <w:pPr>
        <w:spacing w:after="0" w:before="120"/>
      </w:pPr>
    </w:p>
    <w:p>
      <w:r>
        <w:br/>
      </w:r>
    </w:p>
    <w:p>
      <w:pPr>
        <w:pStyle w:val="Heading2"/>
        <w:pBdr>
          <w:bottom w:val="single" w:color="E2E8F0" w:sz="3"/>
        </w:pBdr>
        <w:spacing w:after="160" w:before="360"/>
      </w:pPr>
      <w:r>
        <w:rPr>
          <w:rFonts w:ascii="Arial" w:cs="Arial" w:eastAsia="Arial" w:hAnsi="Arial"/>
          <w:b/>
          <w:bCs/>
          <w:color w:val="1E293B"/>
          <w:sz w:val="30"/>
          <w:szCs w:val="30"/>
        </w:rPr>
        <w:t xml:space="preserve">3. Event extraction pipeline (runVenueIngestExtraction)</w:t>
      </w:r>
    </w:p>
    <w:p>
      <w:pPr>
        <w:spacing w:after="100" w:before="80"/>
      </w:pPr>
      <w:r>
        <w:rPr>
          <w:rFonts w:ascii="Arial" w:cs="Arial" w:eastAsia="Arial" w:hAnsi="Arial"/>
          <w:color w:val="1E293B"/>
          <w:sz w:val="22"/>
          <w:szCs w:val="22"/>
        </w:rPr>
        <w:t xml:space="preserve">This is the core function in lib/ingest/extraction-pipeline.ts. Every venue ingest run executes these steps in sequence:</w:t>
      </w:r>
    </w:p>
    <w:p>
      <w:pPr>
        <w:spacing w:after="0" w:before="120"/>
      </w:pPr>
    </w:p>
    <w:p>
      <w:pPr>
        <w:pStyle w:val="Heading3"/>
        <w:spacing w:after="100" w:before="240"/>
      </w:pPr>
      <w:r>
        <w:rPr>
          <w:rFonts w:ascii="Arial" w:cs="Arial" w:eastAsia="Arial" w:hAnsi="Arial"/>
          <w:b/>
          <w:bCs/>
          <w:color w:val="334155"/>
          <w:sz w:val="24"/>
          <w:szCs w:val="24"/>
        </w:rPr>
        <w:t xml:space="preserve">3.1 Fetch</w:t>
      </w:r>
    </w:p>
    <w:p>
      <w:pPr>
        <w:spacing w:after="100" w:before="80"/>
      </w:pPr>
      <w:r>
        <w:rPr>
          <w:rFonts w:ascii="Arial" w:cs="Arial" w:eastAsia="Arial" w:hAnsi="Arial"/>
          <w:color w:val="1E293B"/>
          <w:sz w:val="22"/>
          <w:szCs w:val="22"/>
        </w:rPr>
        <w:t xml:space="preserve">fetchHtmlWithGuards downloads the venue URL with a 15-second timeout, follows redirects, and applies SSRF guard checks (assertSafeUrl blocks private IP ranges, localhost, and non-HTTP schemes). The response captures final URL after redirects, HTTP status, content-type, and byte count — all stored on the IngestRun.</w:t>
      </w:r>
    </w:p>
    <w:p>
      <w:pPr>
        <w:spacing w:after="0" w:before="120"/>
      </w:pPr>
    </w:p>
    <w:p>
      <w:pPr>
        <w:pStyle w:val="Heading3"/>
        <w:spacing w:after="100" w:before="240"/>
      </w:pPr>
      <w:r>
        <w:rPr>
          <w:rFonts w:ascii="Arial" w:cs="Arial" w:eastAsia="Arial" w:hAnsi="Arial"/>
          <w:b/>
          <w:bCs/>
          <w:color w:val="334155"/>
          <w:sz w:val="24"/>
          <w:szCs w:val="24"/>
        </w:rPr>
        <w:t xml:space="preserve">3.2 Platform detection</w:t>
      </w:r>
    </w:p>
    <w:p>
      <w:pPr>
        <w:spacing w:after="100" w:before="80"/>
      </w:pPr>
      <w:r>
        <w:rPr>
          <w:rFonts w:ascii="Arial" w:cs="Arial" w:eastAsia="Arial" w:hAnsi="Arial"/>
          <w:color w:val="1E293B"/>
          <w:sz w:val="22"/>
          <w:szCs w:val="22"/>
        </w:rPr>
        <w:t xml:space="preserve">detectPlatform classifies the HTML fingerprint into categories: Shopify, Squarespace, Wix, Eventbrite, etc. JS-rendered platforms (Wix, some Shopify configurations) return PLATFORM_REQUIRES_JS immediately — the run is marked SUCCEEDED with zero candidates and no AI call is made. This avoids wasting tokens on pages that render empty HTML server-side.</w:t>
      </w:r>
    </w:p>
    <w:p>
      <w:pPr>
        <w:spacing w:after="0" w:before="120"/>
      </w:pPr>
    </w:p>
    <w:p>
      <w:pPr>
        <w:pStyle w:val="Heading3"/>
        <w:spacing w:after="100" w:before="240"/>
      </w:pPr>
      <w:r>
        <w:rPr>
          <w:rFonts w:ascii="Arial" w:cs="Arial" w:eastAsia="Arial" w:hAnsi="Arial"/>
          <w:b/>
          <w:bCs/>
          <w:color w:val="334155"/>
          <w:sz w:val="24"/>
          <w:szCs w:val="24"/>
        </w:rPr>
        <w:t xml:space="preserve">3.3 Events-page URL detection</w:t>
      </w:r>
    </w:p>
    <w:p>
      <w:pPr>
        <w:spacing w:after="100" w:before="80"/>
      </w:pPr>
      <w:r>
        <w:rPr>
          <w:rFonts w:ascii="Arial" w:cs="Arial" w:eastAsia="Arial" w:hAnsi="Arial"/>
          <w:color w:val="1E293B"/>
          <w:sz w:val="22"/>
          <w:szCs w:val="22"/>
        </w:rPr>
        <w:t xml:space="preserve">detectEventsPageUrl scans anchor tags for patterns matching events, exhibitions, whats-on, programme, calendar, on-view, shows. If a matching URL is found on a different path than the current page and the venue has no eventsPageUrl set, it is written back to the Venue record. Future runs then hit the events page directly rather than the homepage.</w:t>
      </w:r>
    </w:p>
    <w:p>
      <w:pPr>
        <w:spacing w:after="0" w:before="120"/>
      </w:pPr>
    </w:p>
    <w:p>
      <w:pPr>
        <w:pStyle w:val="Heading3"/>
        <w:spacing w:after="100" w:before="240"/>
      </w:pPr>
      <w:r>
        <w:rPr>
          <w:rFonts w:ascii="Arial" w:cs="Arial" w:eastAsia="Arial" w:hAnsi="Arial"/>
          <w:b/>
          <w:bCs/>
          <w:color w:val="334155"/>
          <w:sz w:val="24"/>
          <w:szCs w:val="24"/>
        </w:rPr>
        <w:t xml:space="preserve">3.4 Extraction — JSON-LD fast path</w:t>
      </w:r>
    </w:p>
    <w:p>
      <w:pPr>
        <w:spacing w:after="100" w:before="80"/>
      </w:pPr>
      <w:r>
        <w:rPr>
          <w:rFonts w:ascii="Arial" w:cs="Arial" w:eastAsia="Arial" w:hAnsi="Arial"/>
          <w:color w:val="1E293B"/>
          <w:sz w:val="22"/>
          <w:szCs w:val="22"/>
        </w:rPr>
        <w:t xml:space="preserve">Before any AI call, extractJsonLdEvents scans for application/ld+json script blocks. If these contain Event or ExhibitionEvent schema.org objects with at least a name and startDate, they are used directly. JSON-LD extraction adds +15 to the confidence score and requires no API key or token cost.</w:t>
      </w:r>
    </w:p>
    <w:p>
      <w:pPr>
        <w:spacing w:after="0" w:before="120"/>
      </w:pPr>
    </w:p>
    <w:p>
      <w:pPr>
        <w:pStyle w:val="Heading3"/>
        <w:spacing w:after="100" w:before="240"/>
      </w:pPr>
      <w:r>
        <w:rPr>
          <w:rFonts w:ascii="Arial" w:cs="Arial" w:eastAsia="Arial" w:hAnsi="Arial"/>
          <w:b/>
          <w:bCs/>
          <w:color w:val="334155"/>
          <w:sz w:val="24"/>
          <w:szCs w:val="24"/>
        </w:rPr>
        <w:t xml:space="preserve">3.5 Extraction — AI provider path</w:t>
      </w:r>
    </w:p>
    <w:p>
      <w:pPr>
        <w:spacing w:after="100" w:before="80"/>
      </w:pPr>
      <w:r>
        <w:rPr>
          <w:rFonts w:ascii="Arial" w:cs="Arial" w:eastAsia="Arial" w:hAnsi="Arial"/>
          <w:color w:val="1E293B"/>
          <w:sz w:val="22"/>
          <w:szCs w:val="22"/>
        </w:rPr>
        <w:t xml:space="preserve">When JSON-LD yields nothing, the system calls the configured AI provider (OpenAI, Gemini, or Claude) via a provider abstraction layer. The extraction schema is strict: events is a required array with title, startAt, endAt, timezone, locationText, description, sourceUrl, artistNames, imageUrl. The system also extracts a VenueSnapshot in the same call: description, cover image, opening hours, contact email, Instagram, Facebook.</w:t>
      </w:r>
    </w:p>
    <w:p>
      <w:pPr>
        <w:spacing w:after="0" w:before="120"/>
      </w:pPr>
    </w:p>
    <w:p>
      <w:pPr>
        <w:spacing w:after="100" w:before="80"/>
      </w:pPr>
      <w:r>
        <w:rPr>
          <w:rFonts w:ascii="Arial" w:cs="Arial" w:eastAsia="Arial" w:hAnsi="Arial"/>
          <w:color w:val="1E293B"/>
          <w:sz w:val="22"/>
          <w:szCs w:val="22"/>
        </w:rPr>
        <w:t xml:space="preserve">The system prompt is built from three layers in priority order:</w:t>
      </w:r>
    </w:p>
    <w:p>
      <w:pPr>
        <w:pStyle w:val="ListParagraph"/>
        <w:numPr>
          <w:ilvl w:val="0"/>
          <w:numId w:val="2"/>
        </w:numPr>
        <w:spacing w:after="60" w:before="60"/>
      </w:pPr>
      <w:r>
        <w:rPr>
          <w:rFonts w:ascii="Arial" w:cs="Arial" w:eastAsia="Arial" w:hAnsi="Arial"/>
          <w:color w:val="1E293B"/>
          <w:sz w:val="22"/>
          <w:szCs w:val="22"/>
        </w:rPr>
        <w:t xml:space="preserve">Admin-configured ingestSystemPrompt from SiteSettings (highest priority)</w:t>
      </w:r>
    </w:p>
    <w:p>
      <w:pPr>
        <w:pStyle w:val="ListParagraph"/>
        <w:numPr>
          <w:ilvl w:val="0"/>
          <w:numId w:val="2"/>
        </w:numPr>
        <w:spacing w:after="60" w:before="60"/>
      </w:pPr>
      <w:r>
        <w:rPr>
          <w:rFonts w:ascii="Arial" w:cs="Arial" w:eastAsia="Arial" w:hAnsi="Arial"/>
          <w:color w:val="1E293B"/>
          <w:sz w:val="22"/>
          <w:szCs w:val="22"/>
        </w:rPr>
        <w:t xml:space="preserve">Platform hint injected when a known platform is detected</w:t>
      </w:r>
    </w:p>
    <w:p>
      <w:pPr>
        <w:pStyle w:val="ListParagraph"/>
        <w:numPr>
          <w:ilvl w:val="0"/>
          <w:numId w:val="2"/>
        </w:numPr>
        <w:spacing w:after="60" w:before="60"/>
      </w:pPr>
      <w:r>
        <w:rPr>
          <w:rFonts w:ascii="Arial" w:cs="Arial" w:eastAsia="Arial" w:hAnsi="Arial"/>
          <w:color w:val="1E293B"/>
          <w:sz w:val="22"/>
          <w:szCs w:val="22"/>
        </w:rPr>
        <w:t xml:space="preserve">Default prompt lines covering event vs. venue data separation rules</w:t>
      </w:r>
    </w:p>
    <w:p>
      <w:pPr>
        <w:spacing w:after="0" w:before="120"/>
      </w:pPr>
    </w:p>
    <w:p>
      <w:pPr>
        <w:pStyle w:val="Heading3"/>
        <w:spacing w:after="100" w:before="240"/>
      </w:pPr>
      <w:r>
        <w:rPr>
          <w:rFonts w:ascii="Arial" w:cs="Arial" w:eastAsia="Arial" w:hAnsi="Arial"/>
          <w:b/>
          <w:bCs/>
          <w:color w:val="334155"/>
          <w:sz w:val="24"/>
          <w:szCs w:val="24"/>
        </w:rPr>
        <w:t xml:space="preserve">3.6 Scheduling normalisation</w:t>
      </w:r>
    </w:p>
    <w:p>
      <w:pPr>
        <w:spacing w:after="100" w:before="80"/>
      </w:pPr>
      <w:r>
        <w:rPr>
          <w:rFonts w:ascii="Arial" w:cs="Arial" w:eastAsia="Arial" w:hAnsi="Arial"/>
          <w:color w:val="1E293B"/>
          <w:sz w:val="22"/>
          <w:szCs w:val="22"/>
        </w:rPr>
        <w:t xml:space="preserve">After extraction, normalizeSchedulingFields runs on every event:</w:t>
      </w:r>
    </w:p>
    <w:p>
      <w:pPr>
        <w:pStyle w:val="ListParagraph"/>
        <w:numPr>
          <w:ilvl w:val="0"/>
          <w:numId w:val="2"/>
        </w:numPr>
        <w:spacing w:after="60" w:before="60"/>
      </w:pPr>
      <w:r>
        <w:rPr>
          <w:rFonts w:ascii="Arial" w:cs="Arial" w:eastAsia="Arial" w:hAnsi="Arial"/>
          <w:color w:val="1E293B"/>
          <w:sz w:val="22"/>
          <w:szCs w:val="22"/>
        </w:rPr>
        <w:t xml:space="preserve">If endAt is null or before startAt, it is set to startAt + default duration (120 min, configurable)</w:t>
      </w:r>
    </w:p>
    <w:p>
      <w:pPr>
        <w:pStyle w:val="ListParagraph"/>
        <w:numPr>
          <w:ilvl w:val="0"/>
          <w:numId w:val="2"/>
        </w:numPr>
        <w:spacing w:after="60" w:before="60"/>
      </w:pPr>
      <w:r>
        <w:rPr>
          <w:rFonts w:ascii="Arial" w:cs="Arial" w:eastAsia="Arial" w:hAnsi="Arial"/>
          <w:color w:val="1E293B"/>
          <w:sz w:val="22"/>
          <w:szCs w:val="22"/>
        </w:rPr>
        <w:t xml:space="preserve">If timezone is null, UK domain suffix (.uk) or UK country code triggers Europe/London</w:t>
      </w:r>
    </w:p>
    <w:p>
      <w:pPr>
        <w:pStyle w:val="ListParagraph"/>
        <w:numPr>
          <w:ilvl w:val="0"/>
          <w:numId w:val="2"/>
        </w:numPr>
        <w:spacing w:after="60" w:before="60"/>
      </w:pPr>
      <w:r>
        <w:rPr>
          <w:rFonts w:ascii="Arial" w:cs="Arial" w:eastAsia="Arial" w:hAnsi="Arial"/>
          <w:color w:val="1E293B"/>
          <w:sz w:val="22"/>
          <w:szCs w:val="22"/>
        </w:rPr>
        <w:t xml:space="preserve">If still no timezone and venue has coordinates, inferTimezoneFromLatLng fills it in</w:t>
      </w:r>
    </w:p>
    <w:p>
      <w:pPr>
        <w:spacing w:after="0" w:before="120"/>
      </w:pPr>
    </w:p>
    <w:p>
      <w:pPr>
        <w:pStyle w:val="Heading3"/>
        <w:spacing w:after="100" w:before="240"/>
      </w:pPr>
      <w:r>
        <w:rPr>
          <w:rFonts w:ascii="Arial" w:cs="Arial" w:eastAsia="Arial" w:hAnsi="Arial"/>
          <w:b/>
          <w:bCs/>
          <w:color w:val="334155"/>
          <w:sz w:val="24"/>
          <w:szCs w:val="24"/>
        </w:rPr>
        <w:t xml:space="preserve">3.7 Candidate cap and ranking</w:t>
      </w:r>
    </w:p>
    <w:p>
      <w:pPr>
        <w:spacing w:after="100" w:before="80"/>
      </w:pPr>
      <w:r>
        <w:rPr>
          <w:rFonts w:ascii="Arial" w:cs="Arial" w:eastAsia="Arial" w:hAnsi="Arial"/>
          <w:color w:val="1E293B"/>
          <w:sz w:val="22"/>
          <w:szCs w:val="22"/>
        </w:rPr>
        <w:t xml:space="preserve">Extracted events are ranked by data completeness score: +1 for startAt, +1 for title, +1 for locationText. Only the top N events are persisted (default 25, configurable via AI_INGEST_MAX_CANDIDATES_PER_VENUE_RUN). If the model returns more than the cap, stopReason is set to CANDIDATE_CAP_REACHED on the run.</w:t>
      </w:r>
    </w:p>
    <w:p>
      <w:pPr>
        <w:spacing w:after="0" w:before="120"/>
      </w:pPr>
    </w:p>
    <w:p>
      <w:pPr>
        <w:pStyle w:val="Heading3"/>
        <w:spacing w:after="100" w:before="240"/>
      </w:pPr>
      <w:r>
        <w:rPr>
          <w:rFonts w:ascii="Arial" w:cs="Arial" w:eastAsia="Arial" w:hAnsi="Arial"/>
          <w:b/>
          <w:bCs/>
          <w:color w:val="334155"/>
          <w:sz w:val="24"/>
          <w:szCs w:val="24"/>
        </w:rPr>
        <w:t xml:space="preserve">3.8 Fingerprinting and exact deduplication</w:t>
      </w:r>
    </w:p>
    <w:p>
      <w:pPr>
        <w:spacing w:after="100" w:before="80"/>
      </w:pPr>
      <w:r>
        <w:rPr>
          <w:rFonts w:ascii="Arial" w:cs="Arial" w:eastAsia="Arial" w:hAnsi="Arial"/>
          <w:color w:val="1E293B"/>
          <w:sz w:val="22"/>
          <w:szCs w:val="22"/>
        </w:rPr>
        <w:t xml:space="preserve">Each candidate gets a SHA-256 fingerprint of venueId|normalised_title|date|normalised_location. If a candidate with the same fingerprint already exists for this venue, it is skipped (dedupedCount incremented). This prevents identical events appearing twice across weekly runs.</w:t>
      </w:r>
    </w:p>
    <w:p>
      <w:pPr>
        <w:spacing w:after="0" w:before="120"/>
      </w:pPr>
    </w:p>
    <w:p>
      <w:pPr>
        <w:pStyle w:val="Heading3"/>
        <w:spacing w:after="100" w:before="240"/>
      </w:pPr>
      <w:r>
        <w:rPr>
          <w:rFonts w:ascii="Arial" w:cs="Arial" w:eastAsia="Arial" w:hAnsi="Arial"/>
          <w:b/>
          <w:bCs/>
          <w:color w:val="334155"/>
          <w:sz w:val="24"/>
          <w:szCs w:val="24"/>
        </w:rPr>
        <w:t xml:space="preserve">3.9 Cluster-based similarity deduplication</w:t>
      </w:r>
    </w:p>
    <w:p>
      <w:pPr>
        <w:spacing w:after="100" w:before="80"/>
      </w:pPr>
      <w:r>
        <w:rPr>
          <w:rFonts w:ascii="Arial" w:cs="Arial" w:eastAsia="Arial" w:hAnsi="Arial"/>
          <w:color w:val="1E293B"/>
          <w:sz w:val="22"/>
          <w:szCs w:val="22"/>
        </w:rPr>
        <w:t xml:space="preserve">New candidates are also checked against recent historical primaries (within the lookback window, default 30 days). scoreSimilarity computes a 0–100 score using:</w:t>
      </w:r>
    </w:p>
    <w:p>
      <w:pPr>
        <w:pStyle w:val="ListParagraph"/>
        <w:numPr>
          <w:ilvl w:val="0"/>
          <w:numId w:val="2"/>
        </w:numPr>
        <w:spacing w:after="60" w:before="60"/>
      </w:pPr>
      <w:r>
        <w:rPr>
          <w:rFonts w:ascii="Arial" w:cs="Arial" w:eastAsia="Arial" w:hAnsi="Arial"/>
          <w:color w:val="1E293B"/>
          <w:sz w:val="22"/>
          <w:szCs w:val="22"/>
        </w:rPr>
        <w:t xml:space="preserve">Token Jaccard similarity on title words (70% weight)</w:t>
      </w:r>
    </w:p>
    <w:p>
      <w:pPr>
        <w:pStyle w:val="ListParagraph"/>
        <w:numPr>
          <w:ilvl w:val="0"/>
          <w:numId w:val="2"/>
        </w:numPr>
        <w:spacing w:after="60" w:before="60"/>
      </w:pPr>
      <w:r>
        <w:rPr>
          <w:rFonts w:ascii="Arial" w:cs="Arial" w:eastAsia="Arial" w:hAnsi="Arial"/>
          <w:color w:val="1E293B"/>
          <w:sz w:val="22"/>
          <w:szCs w:val="22"/>
        </w:rPr>
        <w:t xml:space="preserve">Bonus +15 if ≥80% of shorter title's tokens appear in the other</w:t>
      </w:r>
    </w:p>
    <w:p>
      <w:pPr>
        <w:pStyle w:val="ListParagraph"/>
        <w:numPr>
          <w:ilvl w:val="0"/>
          <w:numId w:val="2"/>
        </w:numPr>
        <w:spacing w:after="60" w:before="60"/>
      </w:pPr>
      <w:r>
        <w:rPr>
          <w:rFonts w:ascii="Arial" w:cs="Arial" w:eastAsia="Arial" w:hAnsi="Arial"/>
          <w:color w:val="1E293B"/>
          <w:sz w:val="22"/>
          <w:szCs w:val="22"/>
        </w:rPr>
        <w:t xml:space="preserve">Date match bonus +20, date mismatch penalty -15</w:t>
      </w:r>
    </w:p>
    <w:p>
      <w:pPr>
        <w:pStyle w:val="ListParagraph"/>
        <w:numPr>
          <w:ilvl w:val="0"/>
          <w:numId w:val="2"/>
        </w:numPr>
        <w:spacing w:after="60" w:before="60"/>
      </w:pPr>
      <w:r>
        <w:rPr>
          <w:rFonts w:ascii="Arial" w:cs="Arial" w:eastAsia="Arial" w:hAnsi="Arial"/>
          <w:color w:val="1E293B"/>
          <w:sz w:val="22"/>
          <w:szCs w:val="22"/>
        </w:rPr>
        <w:t xml:space="preserve">Location token Jaccard (10% weight)</w:t>
      </w:r>
    </w:p>
    <w:p>
      <w:pPr>
        <w:spacing w:after="100" w:before="80"/>
      </w:pPr>
      <w:r>
        <w:rPr>
          <w:rFonts w:ascii="Arial" w:cs="Arial" w:eastAsia="Arial" w:hAnsi="Arial"/>
          <w:color w:val="1E293B"/>
          <w:sz w:val="22"/>
          <w:szCs w:val="22"/>
        </w:rPr>
        <w:t xml:space="preserve">Candidates scoring above the similarity threshold (default 85) are marked DUPLICATE and linked to the historical primary via duplicateOfId.</w:t>
      </w:r>
    </w:p>
    <w:p>
      <w:pPr>
        <w:spacing w:after="0" w:before="120"/>
      </w:pPr>
    </w:p>
    <w:p>
      <w:pPr>
        <w:pStyle w:val="Heading3"/>
        <w:spacing w:after="100" w:before="240"/>
      </w:pPr>
      <w:r>
        <w:rPr>
          <w:rFonts w:ascii="Arial" w:cs="Arial" w:eastAsia="Arial" w:hAnsi="Arial"/>
          <w:b/>
          <w:bCs/>
          <w:color w:val="334155"/>
          <w:sz w:val="24"/>
          <w:szCs w:val="24"/>
        </w:rPr>
        <w:t xml:space="preserve">3.10 Venue track record bonus</w:t>
      </w:r>
    </w:p>
    <w:p>
      <w:pPr>
        <w:spacing w:after="100" w:before="80"/>
      </w:pPr>
      <w:r>
        <w:rPr>
          <w:rFonts w:ascii="Arial" w:cs="Arial" w:eastAsia="Arial" w:hAnsi="Arial"/>
          <w:color w:val="1E293B"/>
          <w:sz w:val="22"/>
          <w:szCs w:val="22"/>
        </w:rPr>
        <w:t xml:space="preserve">getVenueTrackRecordBonus looks at the last 20 approved/rejected decisions for this venue. If ≥80% were approved: +8 points. If ≥60%: +4 points. If &lt;40%: -5 points. This bonus is applied to every candidate's confidence score, making quality venues score higher without changing the scoring algorithm.</w:t>
      </w:r>
    </w:p>
    <w:p>
      <w:pPr>
        <w:spacing w:after="0" w:before="120"/>
      </w:pPr>
    </w:p>
    <w:p>
      <w:r>
        <w:br/>
      </w:r>
    </w:p>
    <w:p>
      <w:pPr>
        <w:pStyle w:val="Heading2"/>
        <w:pBdr>
          <w:bottom w:val="single" w:color="E2E8F0" w:sz="3"/>
        </w:pBdr>
        <w:spacing w:after="160" w:before="360"/>
      </w:pPr>
      <w:r>
        <w:rPr>
          <w:rFonts w:ascii="Arial" w:cs="Arial" w:eastAsia="Arial" w:hAnsi="Arial"/>
          <w:b/>
          <w:bCs/>
          <w:color w:val="1E293B"/>
          <w:sz w:val="30"/>
          <w:szCs w:val="30"/>
        </w:rPr>
        <w:t xml:space="preserve">4. Confidence scoring</w:t>
      </w:r>
    </w:p>
    <w:p>
      <w:pPr>
        <w:pStyle w:val="Heading3"/>
        <w:spacing w:after="100" w:before="240"/>
      </w:pPr>
      <w:r>
        <w:rPr>
          <w:rFonts w:ascii="Arial" w:cs="Arial" w:eastAsia="Arial" w:hAnsi="Arial"/>
          <w:b/>
          <w:bCs/>
          <w:color w:val="334155"/>
          <w:sz w:val="24"/>
          <w:szCs w:val="24"/>
        </w:rPr>
        <w:t xml:space="preserve">4.1 Event confidence model (computeConfidence)</w:t>
      </w:r>
    </w:p>
    <w:p>
      <w:pPr>
        <w:spacing w:after="100" w:before="80"/>
      </w:pPr>
      <w:r>
        <w:rPr>
          <w:rFonts w:ascii="Arial" w:cs="Arial" w:eastAsia="Arial" w:hAnsi="Arial"/>
          <w:color w:val="1E293B"/>
          <w:sz w:val="22"/>
          <w:szCs w:val="22"/>
        </w:rPr>
        <w:t xml:space="preserve">Base score starts at 40. Points are added or subtracted based on data signals: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600"/>
        <w:gridCol w:w="3760"/>
      </w:tblGrid>
      <w:tr>
        <w:tc>
          <w:tcPr>
            <w:tcW w:type="dxa" w:w="4000"/>
            <w:tcBorders>
              <w:top w:val="single" w:color="1E293B" w:sz="1"/>
              <w:left w:val="single" w:color="1E293B" w:sz="1"/>
              <w:bottom w:val="single" w:color="1E293B" w:sz="1"/>
              <w:right w:val="single" w:color="1E293B"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1600"/>
            <w:tcBorders>
              <w:top w:val="single" w:color="1E293B" w:sz="1"/>
              <w:left w:val="single" w:color="1E293B" w:sz="1"/>
              <w:bottom w:val="single" w:color="1E293B" w:sz="1"/>
              <w:right w:val="single" w:color="1E293B"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Points</w:t>
            </w:r>
          </w:p>
        </w:tc>
        <w:tc>
          <w:tcPr>
            <w:tcW w:type="dxa" w:w="3760"/>
            <w:tcBorders>
              <w:top w:val="single" w:color="1E293B" w:sz="1"/>
              <w:left w:val="single" w:color="1E293B" w:sz="1"/>
              <w:bottom w:val="single" w:color="1E293B" w:sz="1"/>
              <w:right w:val="single" w:color="1E293B"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r>
      <w:tr>
        <w:tc>
          <w:tcPr>
            <w:tcW w:type="dxa" w:w="40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1E293B"/>
                <w:sz w:val="20"/>
                <w:szCs w:val="20"/>
              </w:rPr>
              <w:t xml:space="preserve">Has startAt</w:t>
            </w:r>
          </w:p>
        </w:tc>
        <w:tc>
          <w:tcPr>
            <w:tcW w:type="dxa" w:w="16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1E293B"/>
                <w:sz w:val="20"/>
                <w:szCs w:val="20"/>
              </w:rPr>
              <w:t xml:space="preserve">+20</w:t>
            </w:r>
          </w:p>
        </w:tc>
        <w:tc>
          <w:tcPr>
            <w:tcW w:type="dxa" w:w="37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1E293B"/>
                <w:sz w:val="20"/>
                <w:szCs w:val="20"/>
              </w:rPr>
              <w:t xml:space="preserve">Required scheduling field</w:t>
            </w:r>
          </w:p>
        </w:tc>
      </w:tr>
      <w:tr>
        <w:tc>
          <w:tcPr>
            <w:tcW w:type="dxa" w:w="40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1E293B"/>
                <w:sz w:val="20"/>
                <w:szCs w:val="20"/>
              </w:rPr>
              <w:t xml:space="preserve">Valid endAt</w:t>
            </w:r>
          </w:p>
        </w:tc>
        <w:tc>
          <w:tcPr>
            <w:tcW w:type="dxa" w:w="16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1E293B"/>
                <w:sz w:val="20"/>
                <w:szCs w:val="20"/>
              </w:rPr>
              <w:t xml:space="preserve">+10</w:t>
            </w:r>
          </w:p>
        </w:tc>
        <w:tc>
          <w:tcPr>
            <w:tcW w:type="dxa" w:w="37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1E293B"/>
                <w:sz w:val="20"/>
                <w:szCs w:val="20"/>
              </w:rPr>
              <w:t xml:space="preserve">endAt exists and &gt;= startAt</w:t>
            </w:r>
          </w:p>
        </w:tc>
      </w:tr>
      <w:tr>
        <w:tc>
          <w:tcPr>
            <w:tcW w:type="dxa" w:w="40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1E293B"/>
                <w:sz w:val="20"/>
                <w:szCs w:val="20"/>
              </w:rPr>
              <w:t xml:space="preserve">Timezone stable</w:t>
            </w:r>
          </w:p>
        </w:tc>
        <w:tc>
          <w:tcPr>
            <w:tcW w:type="dxa" w:w="16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1E293B"/>
                <w:sz w:val="20"/>
                <w:szCs w:val="20"/>
              </w:rPr>
              <w:t xml:space="preserve">+10</w:t>
            </w:r>
          </w:p>
        </w:tc>
        <w:tc>
          <w:tcPr>
            <w:tcW w:type="dxa" w:w="37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1E293B"/>
                <w:sz w:val="20"/>
                <w:szCs w:val="20"/>
              </w:rPr>
              <w:t xml:space="preserve">timezone field or UTC-flagged startAt</w:t>
            </w:r>
          </w:p>
        </w:tc>
      </w:tr>
      <w:tr>
        <w:tc>
          <w:tcPr>
            <w:tcW w:type="dxa" w:w="40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1E293B"/>
                <w:sz w:val="20"/>
                <w:szCs w:val="20"/>
              </w:rPr>
              <w:t xml:space="preserve">Has location</w:t>
            </w:r>
          </w:p>
        </w:tc>
        <w:tc>
          <w:tcPr>
            <w:tcW w:type="dxa" w:w="16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1E293B"/>
                <w:sz w:val="20"/>
                <w:szCs w:val="20"/>
              </w:rPr>
              <w:t xml:space="preserve">+10</w:t>
            </w:r>
          </w:p>
        </w:tc>
        <w:tc>
          <w:tcPr>
            <w:tcW w:type="dxa" w:w="37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1E293B"/>
                <w:sz w:val="20"/>
                <w:szCs w:val="20"/>
              </w:rPr>
              <w:t xml:space="preserve">locationText &gt;= 4 chars</w:t>
            </w:r>
          </w:p>
        </w:tc>
      </w:tr>
      <w:tr>
        <w:tc>
          <w:tcPr>
            <w:tcW w:type="dxa" w:w="40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1E293B"/>
                <w:sz w:val="20"/>
                <w:szCs w:val="20"/>
              </w:rPr>
              <w:t xml:space="preserve">Descriptive summary</w:t>
            </w:r>
          </w:p>
        </w:tc>
        <w:tc>
          <w:tcPr>
            <w:tcW w:type="dxa" w:w="16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1E293B"/>
                <w:sz w:val="20"/>
                <w:szCs w:val="20"/>
              </w:rPr>
              <w:t xml:space="preserve">+10</w:t>
            </w:r>
          </w:p>
        </w:tc>
        <w:tc>
          <w:tcPr>
            <w:tcW w:type="dxa" w:w="37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1E293B"/>
                <w:sz w:val="20"/>
                <w:szCs w:val="20"/>
              </w:rPr>
              <w:t xml:space="preserve">description &gt;= 40 chars</w:t>
            </w:r>
          </w:p>
        </w:tc>
      </w:tr>
      <w:tr>
        <w:tc>
          <w:tcPr>
            <w:tcW w:type="dxa" w:w="40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1E293B"/>
                <w:sz w:val="20"/>
                <w:szCs w:val="20"/>
              </w:rPr>
              <w:t xml:space="preserve">Specific source URL</w:t>
            </w:r>
          </w:p>
        </w:tc>
        <w:tc>
          <w:tcPr>
            <w:tcW w:type="dxa" w:w="16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1E293B"/>
                <w:sz w:val="20"/>
                <w:szCs w:val="20"/>
              </w:rPr>
              <w:t xml:space="preserve">+10</w:t>
            </w:r>
          </w:p>
        </w:tc>
        <w:tc>
          <w:tcPr>
            <w:tcW w:type="dxa" w:w="37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1E293B"/>
                <w:sz w:val="20"/>
                <w:szCs w:val="20"/>
              </w:rPr>
              <w:t xml:space="preserve">URL path contains /events/, /exhibition/, date pattern</w:t>
            </w:r>
          </w:p>
        </w:tc>
      </w:tr>
      <w:tr>
        <w:tc>
          <w:tcPr>
            <w:tcW w:type="dxa" w:w="40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1E293B"/>
                <w:sz w:val="20"/>
                <w:szCs w:val="20"/>
              </w:rPr>
              <w:t xml:space="preserve">Title looks specific</w:t>
            </w:r>
          </w:p>
        </w:tc>
        <w:tc>
          <w:tcPr>
            <w:tcW w:type="dxa" w:w="16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1E293B"/>
                <w:sz w:val="20"/>
                <w:szCs w:val="20"/>
              </w:rPr>
              <w:t xml:space="preserve">+10</w:t>
            </w:r>
          </w:p>
        </w:tc>
        <w:tc>
          <w:tcPr>
            <w:tcW w:type="dxa" w:w="37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1E293B"/>
                <w:sz w:val="20"/>
                <w:szCs w:val="20"/>
              </w:rPr>
              <w:t xml:space="preserve">5–120 chars, has letters, not mostly symbols</w:t>
            </w:r>
          </w:p>
        </w:tc>
      </w:tr>
      <w:tr>
        <w:tc>
          <w:tcPr>
            <w:tcW w:type="dxa" w:w="40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1E293B"/>
                <w:sz w:val="20"/>
                <w:szCs w:val="20"/>
              </w:rPr>
              <w:t xml:space="preserve">JSON-LD source</w:t>
            </w:r>
          </w:p>
        </w:tc>
        <w:tc>
          <w:tcPr>
            <w:tcW w:type="dxa" w:w="16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1E293B"/>
                <w:sz w:val="20"/>
                <w:szCs w:val="20"/>
              </w:rPr>
              <w:t xml:space="preserve">+15</w:t>
            </w:r>
          </w:p>
        </w:tc>
        <w:tc>
          <w:tcPr>
            <w:tcW w:type="dxa" w:w="37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1E293B"/>
                <w:sz w:val="20"/>
                <w:szCs w:val="20"/>
              </w:rPr>
              <w:t xml:space="preserve">Extraction came from structured data, not AI</w:t>
            </w:r>
          </w:p>
        </w:tc>
      </w:tr>
      <w:tr>
        <w:tc>
          <w:tcPr>
            <w:tcW w:type="dxa" w:w="40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1E293B"/>
                <w:sz w:val="20"/>
                <w:szCs w:val="20"/>
              </w:rPr>
              <w:t xml:space="preserve">Generic title</w:t>
            </w:r>
          </w:p>
        </w:tc>
        <w:tc>
          <w:tcPr>
            <w:tcW w:type="dxa" w:w="16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1E293B"/>
                <w:sz w:val="20"/>
                <w:szCs w:val="20"/>
              </w:rPr>
              <w:t xml:space="preserve">-20</w:t>
            </w:r>
          </w:p>
        </w:tc>
        <w:tc>
          <w:tcPr>
            <w:tcW w:type="dxa" w:w="37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1E293B"/>
                <w:sz w:val="20"/>
                <w:szCs w:val="20"/>
              </w:rPr>
              <w:t xml:space="preserve">Title is home, untitled, event, click here</w:t>
            </w:r>
          </w:p>
        </w:tc>
      </w:tr>
      <w:tr>
        <w:tc>
          <w:tcPr>
            <w:tcW w:type="dxa" w:w="40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1E293B"/>
                <w:sz w:val="20"/>
                <w:szCs w:val="20"/>
              </w:rPr>
              <w:t xml:space="preserve">Title equals venue name</w:t>
            </w:r>
          </w:p>
        </w:tc>
        <w:tc>
          <w:tcPr>
            <w:tcW w:type="dxa" w:w="16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1E293B"/>
                <w:sz w:val="20"/>
                <w:szCs w:val="20"/>
              </w:rPr>
              <w:t xml:space="preserve">-15</w:t>
            </w:r>
          </w:p>
        </w:tc>
        <w:tc>
          <w:tcPr>
            <w:tcW w:type="dxa" w:w="37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1E293B"/>
                <w:sz w:val="20"/>
                <w:szCs w:val="20"/>
              </w:rPr>
              <w:t xml:space="preserve">Event title is same as venue name</w:t>
            </w:r>
          </w:p>
        </w:tc>
      </w:tr>
      <w:tr>
        <w:tc>
          <w:tcPr>
            <w:tcW w:type="dxa" w:w="40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1E293B"/>
                <w:sz w:val="20"/>
                <w:szCs w:val="20"/>
              </w:rPr>
              <w:t xml:space="preserve">Nav noise title</w:t>
            </w:r>
          </w:p>
        </w:tc>
        <w:tc>
          <w:tcPr>
            <w:tcW w:type="dxa" w:w="16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1E293B"/>
                <w:sz w:val="20"/>
                <w:szCs w:val="20"/>
              </w:rPr>
              <w:t xml:space="preserve">-15</w:t>
            </w:r>
          </w:p>
        </w:tc>
        <w:tc>
          <w:tcPr>
            <w:tcW w:type="dxa" w:w="37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1E293B"/>
                <w:sz w:val="20"/>
                <w:szCs w:val="20"/>
              </w:rPr>
              <w:t xml:space="preserve">Title is a month name or navigation word</w:t>
            </w:r>
          </w:p>
        </w:tc>
      </w:tr>
      <w:tr>
        <w:tc>
          <w:tcPr>
            <w:tcW w:type="dxa" w:w="40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1E293B"/>
                <w:sz w:val="20"/>
                <w:szCs w:val="20"/>
              </w:rPr>
              <w:t xml:space="preserve">Missing key signals</w:t>
            </w:r>
          </w:p>
        </w:tc>
        <w:tc>
          <w:tcPr>
            <w:tcW w:type="dxa" w:w="16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1E293B"/>
                <w:sz w:val="20"/>
                <w:szCs w:val="20"/>
              </w:rPr>
              <w:t xml:space="preserve">-20</w:t>
            </w:r>
          </w:p>
        </w:tc>
        <w:tc>
          <w:tcPr>
            <w:tcW w:type="dxa" w:w="37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1E293B"/>
                <w:sz w:val="20"/>
                <w:szCs w:val="20"/>
              </w:rPr>
              <w:t xml:space="preserve">No startAt AND desc &lt;40 chars AND no location</w:t>
            </w:r>
          </w:p>
        </w:tc>
      </w:tr>
      <w:tr>
        <w:tc>
          <w:tcPr>
            <w:tcW w:type="dxa" w:w="40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1E293B"/>
                <w:sz w:val="20"/>
                <w:szCs w:val="20"/>
              </w:rPr>
              <w:t xml:space="preserve">Description too long</w:t>
            </w:r>
          </w:p>
        </w:tc>
        <w:tc>
          <w:tcPr>
            <w:tcW w:type="dxa" w:w="16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1E293B"/>
                <w:sz w:val="20"/>
                <w:szCs w:val="20"/>
              </w:rPr>
              <w:t xml:space="preserve">-10</w:t>
            </w:r>
          </w:p>
        </w:tc>
        <w:tc>
          <w:tcPr>
            <w:tcW w:type="dxa" w:w="37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1E293B"/>
                <w:sz w:val="20"/>
                <w:szCs w:val="20"/>
              </w:rPr>
              <w:t xml:space="preserve">description &gt; 5000 chars (likely page dump)</w:t>
            </w:r>
          </w:p>
        </w:tc>
      </w:tr>
      <w:tr>
        <w:tc>
          <w:tcPr>
            <w:tcW w:type="dxa" w:w="40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1E293B"/>
                <w:sz w:val="20"/>
                <w:szCs w:val="20"/>
              </w:rPr>
              <w:t xml:space="preserve">Duplicate penalty</w:t>
            </w:r>
          </w:p>
        </w:tc>
        <w:tc>
          <w:tcPr>
            <w:tcW w:type="dxa" w:w="160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1E293B"/>
                <w:sz w:val="20"/>
                <w:szCs w:val="20"/>
              </w:rPr>
              <w:t xml:space="preserve">-10</w:t>
            </w:r>
          </w:p>
        </w:tc>
        <w:tc>
          <w:tcPr>
            <w:tcW w:type="dxa" w:w="37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color w:val="1E293B"/>
                <w:sz w:val="20"/>
                <w:szCs w:val="20"/>
              </w:rPr>
              <w:t xml:space="preserve">Status is DUPLICATE (unless inheriting from primary)</w:t>
            </w:r>
          </w:p>
        </w:tc>
      </w:tr>
      <w:tr>
        <w:tc>
          <w:tcPr>
            <w:tcW w:type="dxa" w:w="40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1E293B"/>
                <w:sz w:val="20"/>
                <w:szCs w:val="20"/>
              </w:rPr>
              <w:t xml:space="preserve">Track record bonus</w:t>
            </w:r>
          </w:p>
        </w:tc>
        <w:tc>
          <w:tcPr>
            <w:tcW w:type="dxa" w:w="16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1E293B"/>
                <w:sz w:val="20"/>
                <w:szCs w:val="20"/>
              </w:rPr>
              <w:t xml:space="preserve">+8/+4/-5</w:t>
            </w:r>
          </w:p>
        </w:tc>
        <w:tc>
          <w:tcPr>
            <w:tcW w:type="dxa" w:w="37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1E293B"/>
                <w:sz w:val="20"/>
                <w:szCs w:val="20"/>
              </w:rPr>
              <w:t xml:space="preserve">Venue approval rate: ≥80% / ≥60% / &lt;40%</w:t>
            </w:r>
          </w:p>
        </w:tc>
      </w:tr>
    </w:tbl>
    <w:p>
      <w:pPr>
        <w:spacing w:after="0" w:before="120"/>
      </w:pPr>
    </w:p>
    <w:p>
      <w:pPr>
        <w:spacing w:after="100" w:before="80"/>
      </w:pPr>
      <w:r>
        <w:rPr>
          <w:rFonts w:ascii="Arial" w:cs="Arial" w:eastAsia="Arial" w:hAnsi="Arial"/>
          <w:color w:val="1E293B"/>
          <w:sz w:val="22"/>
          <w:szCs w:val="22"/>
        </w:rPr>
        <w:t xml:space="preserve">Bands: HIGH ≥ 75, MEDIUM ≥ 45, LOW &lt; 45. Both thresholds are configurable per-instance via SiteSettings.</w:t>
      </w:r>
    </w:p>
    <w:p>
      <w:pPr>
        <w:spacing w:after="0" w:before="120"/>
      </w:pPr>
    </w:p>
    <w:p>
      <w:pPr>
        <w:pStyle w:val="Heading3"/>
        <w:spacing w:after="100" w:before="240"/>
      </w:pPr>
      <w:r>
        <w:rPr>
          <w:rFonts w:ascii="Arial" w:cs="Arial" w:eastAsia="Arial" w:hAnsi="Arial"/>
          <w:b/>
          <w:bCs/>
          <w:color w:val="334155"/>
          <w:sz w:val="24"/>
          <w:szCs w:val="24"/>
        </w:rPr>
        <w:t xml:space="preserve">4.2 Artist confidence model (scoreArtistCandidate)</w:t>
      </w:r>
    </w:p>
    <w:p>
      <w:pPr>
        <w:spacing w:after="100" w:before="80"/>
      </w:pPr>
      <w:r>
        <w:rPr>
          <w:rFonts w:ascii="Arial" w:cs="Arial" w:eastAsia="Arial" w:hAnsi="Arial"/>
          <w:color w:val="1E293B"/>
          <w:sz w:val="22"/>
          <w:szCs w:val="22"/>
        </w:rPr>
        <w:t xml:space="preserve">Artist confidence scores completeness of extracted profile data:</w:t>
      </w:r>
    </w:p>
    <w:p>
      <w:pPr>
        <w:pStyle w:val="ListParagraph"/>
        <w:numPr>
          <w:ilvl w:val="0"/>
          <w:numId w:val="2"/>
        </w:numPr>
        <w:spacing w:after="60" w:before="60"/>
      </w:pPr>
      <w:r>
        <w:rPr>
          <w:rFonts w:ascii="Arial" w:cs="Arial" w:eastAsia="Arial" w:hAnsi="Arial"/>
          <w:color w:val="1E293B"/>
          <w:sz w:val="22"/>
          <w:szCs w:val="22"/>
        </w:rPr>
        <w:t xml:space="preserve">Bio &gt; 200 chars: +20. Bio &gt; 50 chars: +10</w:t>
      </w:r>
    </w:p>
    <w:p>
      <w:pPr>
        <w:pStyle w:val="ListParagraph"/>
        <w:numPr>
          <w:ilvl w:val="0"/>
          <w:numId w:val="2"/>
        </w:numPr>
        <w:spacing w:after="60" w:before="60"/>
      </w:pPr>
      <w:r>
        <w:rPr>
          <w:rFonts w:ascii="Arial" w:cs="Arial" w:eastAsia="Arial" w:hAnsi="Arial"/>
          <w:color w:val="1E293B"/>
          <w:sz w:val="22"/>
          <w:szCs w:val="22"/>
        </w:rPr>
        <w:t xml:space="preserve">Wikipedia result in search: +20</w:t>
      </w:r>
    </w:p>
    <w:p>
      <w:pPr>
        <w:pStyle w:val="ListParagraph"/>
        <w:numPr>
          <w:ilvl w:val="0"/>
          <w:numId w:val="2"/>
        </w:numPr>
        <w:spacing w:after="60" w:before="60"/>
      </w:pPr>
      <w:r>
        <w:rPr>
          <w:rFonts w:ascii="Arial" w:cs="Arial" w:eastAsia="Arial" w:hAnsi="Arial"/>
          <w:color w:val="1E293B"/>
          <w:sz w:val="22"/>
          <w:szCs w:val="22"/>
        </w:rPr>
        <w:t xml:space="preserve">Website URL present: +15</w:t>
      </w:r>
    </w:p>
    <w:p>
      <w:pPr>
        <w:pStyle w:val="ListParagraph"/>
        <w:numPr>
          <w:ilvl w:val="0"/>
          <w:numId w:val="2"/>
        </w:numPr>
        <w:spacing w:after="60" w:before="60"/>
      </w:pPr>
      <w:r>
        <w:rPr>
          <w:rFonts w:ascii="Arial" w:cs="Arial" w:eastAsia="Arial" w:hAnsi="Arial"/>
          <w:color w:val="1E293B"/>
          <w:sz w:val="22"/>
          <w:szCs w:val="22"/>
        </w:rPr>
        <w:t xml:space="preserve">Instagram URL: +10. Twitter URL: +5</w:t>
      </w:r>
    </w:p>
    <w:p>
      <w:pPr>
        <w:pStyle w:val="ListParagraph"/>
        <w:numPr>
          <w:ilvl w:val="0"/>
          <w:numId w:val="2"/>
        </w:numPr>
        <w:spacing w:after="60" w:before="60"/>
      </w:pPr>
      <w:r>
        <w:rPr>
          <w:rFonts w:ascii="Arial" w:cs="Arial" w:eastAsia="Arial" w:hAnsi="Arial"/>
          <w:color w:val="1E293B"/>
          <w:sz w:val="22"/>
          <w:szCs w:val="22"/>
        </w:rPr>
        <w:t xml:space="preserve">Known art medium in mediums array: +10</w:t>
      </w:r>
    </w:p>
    <w:p>
      <w:pPr>
        <w:pStyle w:val="ListParagraph"/>
        <w:numPr>
          <w:ilvl w:val="0"/>
          <w:numId w:val="2"/>
        </w:numPr>
        <w:spacing w:after="60" w:before="60"/>
      </w:pPr>
      <w:r>
        <w:rPr>
          <w:rFonts w:ascii="Arial" w:cs="Arial" w:eastAsia="Arial" w:hAnsi="Arial"/>
          <w:color w:val="1E293B"/>
          <w:sz w:val="22"/>
          <w:szCs w:val="22"/>
        </w:rPr>
        <w:t xml:space="preserve">Plausible birth year (1850–2005): +5</w:t>
      </w:r>
    </w:p>
    <w:p>
      <w:pPr>
        <w:pStyle w:val="ListParagraph"/>
        <w:numPr>
          <w:ilvl w:val="0"/>
          <w:numId w:val="2"/>
        </w:numPr>
        <w:spacing w:after="60" w:before="60"/>
      </w:pPr>
      <w:r>
        <w:rPr>
          <w:rFonts w:ascii="Arial" w:cs="Arial" w:eastAsia="Arial" w:hAnsi="Arial"/>
          <w:color w:val="1E293B"/>
          <w:sz w:val="22"/>
          <w:szCs w:val="22"/>
        </w:rPr>
        <w:t xml:space="preserve">Name matches institution suffix (gallery, museum, foundation): -15</w:t>
      </w:r>
    </w:p>
    <w:p>
      <w:pPr>
        <w:spacing w:after="100" w:before="80"/>
      </w:pPr>
      <w:r>
        <w:rPr>
          <w:rFonts w:ascii="Arial" w:cs="Arial" w:eastAsia="Arial" w:hAnsi="Arial"/>
          <w:color w:val="1E293B"/>
          <w:sz w:val="22"/>
          <w:szCs w:val="22"/>
        </w:rPr>
        <w:t xml:space="preserve">Bands: HIGH ≥ 80, MEDIUM ≥ 50, LOW &lt; 50.</w:t>
      </w:r>
    </w:p>
    <w:p>
      <w:pPr>
        <w:spacing w:after="0" w:before="120"/>
      </w:pPr>
    </w:p>
    <w:p>
      <w:pPr>
        <w:pStyle w:val="Heading3"/>
        <w:spacing w:after="100" w:before="240"/>
      </w:pPr>
      <w:r>
        <w:rPr>
          <w:rFonts w:ascii="Arial" w:cs="Arial" w:eastAsia="Arial" w:hAnsi="Arial"/>
          <w:b/>
          <w:bCs/>
          <w:color w:val="334155"/>
          <w:sz w:val="24"/>
          <w:szCs w:val="24"/>
        </w:rPr>
        <w:t xml:space="preserve">4.3 Artwork completeness model (computeArtworkCompleteness)</w:t>
      </w:r>
    </w:p>
    <w:p>
      <w:pPr>
        <w:spacing w:after="100" w:before="80"/>
      </w:pPr>
      <w:r>
        <w:rPr>
          <w:rFonts w:ascii="Arial" w:cs="Arial" w:eastAsia="Arial" w:hAnsi="Arial"/>
          <w:color w:val="1E293B"/>
          <w:sz w:val="22"/>
          <w:szCs w:val="22"/>
        </w:rPr>
        <w:t xml:space="preserve">Artwork scoring checks seven fields across required and recommended tiers:</w:t>
      </w:r>
    </w:p>
    <w:p>
      <w:pPr>
        <w:pStyle w:val="ListParagraph"/>
        <w:numPr>
          <w:ilvl w:val="0"/>
          <w:numId w:val="2"/>
        </w:numPr>
        <w:spacing w:after="60" w:before="60"/>
      </w:pPr>
      <w:r>
        <w:rPr>
          <w:rFonts w:ascii="Arial" w:cs="Arial" w:eastAsia="Arial" w:hAnsi="Arial"/>
          <w:color w:val="1E293B"/>
          <w:sz w:val="22"/>
          <w:szCs w:val="22"/>
        </w:rPr>
        <w:t xml:space="preserve">Required: title, image (featuredAssetId or images count), medium</w:t>
      </w:r>
    </w:p>
    <w:p>
      <w:pPr>
        <w:pStyle w:val="ListParagraph"/>
        <w:numPr>
          <w:ilvl w:val="0"/>
          <w:numId w:val="2"/>
        </w:numPr>
        <w:spacing w:after="60" w:before="60"/>
      </w:pPr>
      <w:r>
        <w:rPr>
          <w:rFonts w:ascii="Arial" w:cs="Arial" w:eastAsia="Arial" w:hAnsi="Arial"/>
          <w:color w:val="1E293B"/>
          <w:sz w:val="22"/>
          <w:szCs w:val="22"/>
        </w:rPr>
        <w:t xml:space="preserve">Recommended: description (&gt;20 chars), year, dimensions, provenance</w:t>
      </w:r>
    </w:p>
    <w:p>
      <w:pPr>
        <w:spacing w:after="100" w:before="80"/>
      </w:pPr>
      <w:r>
        <w:rPr>
          <w:rFonts w:ascii="Arial" w:cs="Arial" w:eastAsia="Arial" w:hAnsi="Arial"/>
          <w:color w:val="1E293B"/>
          <w:sz w:val="22"/>
          <w:szCs w:val="22"/>
        </w:rPr>
        <w:t xml:space="preserve">Score is percentage of checks passed (0–100). Flags generated: MISSING_IMAGE, INCOMPLETE (score &lt;60), LOW_CONFIDENCE_METADATA (any required issues). Scores are persisted to completenessScore / completenessFlags / completenessUpdatedAt and refreshed nightly by the score-completeness cron.</w:t>
      </w:r>
    </w:p>
    <w:p>
      <w:pPr>
        <w:spacing w:after="0" w:before="120"/>
      </w:pPr>
    </w:p>
    <w:p>
      <w:pPr>
        <w:pStyle w:val="Heading3"/>
        <w:spacing w:after="100" w:before="240"/>
      </w:pPr>
      <w:r>
        <w:rPr>
          <w:rFonts w:ascii="Arial" w:cs="Arial" w:eastAsia="Arial" w:hAnsi="Arial"/>
          <w:b/>
          <w:bCs/>
          <w:color w:val="334155"/>
          <w:sz w:val="24"/>
          <w:szCs w:val="24"/>
        </w:rPr>
        <w:t xml:space="preserve">4.4 Venue confidence (workbench)</w:t>
      </w:r>
    </w:p>
    <w:p>
      <w:pPr>
        <w:spacing w:after="100" w:before="80"/>
      </w:pPr>
      <w:r>
        <w:rPr>
          <w:rFonts w:ascii="Arial" w:cs="Arial" w:eastAsia="Arial" w:hAnsi="Arial"/>
          <w:color w:val="1E293B"/>
          <w:sz w:val="22"/>
          <w:szCs w:val="22"/>
        </w:rPr>
        <w:t xml:space="preserve">Venues are scored on five fields: description (40pts), featuredAssetId (30pts), websiteUrl (10pts), addressLine1 (10pts), city+country (10pts). This score drives enrichment priority ordering in the admin workbench.</w:t>
      </w:r>
    </w:p>
    <w:p>
      <w:pPr>
        <w:spacing w:after="0" w:before="120"/>
      </w:pPr>
    </w:p>
    <w:p>
      <w:r>
        <w:br/>
      </w:r>
    </w:p>
    <w:p>
      <w:pPr>
        <w:pStyle w:val="Heading2"/>
        <w:pBdr>
          <w:bottom w:val="single" w:color="E2E8F0" w:sz="3"/>
        </w:pBdr>
        <w:spacing w:after="160" w:before="360"/>
      </w:pPr>
      <w:r>
        <w:rPr>
          <w:rFonts w:ascii="Arial" w:cs="Arial" w:eastAsia="Arial" w:hAnsi="Arial"/>
          <w:b/>
          <w:bCs/>
          <w:color w:val="1E293B"/>
          <w:sz w:val="30"/>
          <w:szCs w:val="30"/>
        </w:rPr>
        <w:t xml:space="preserve">5. Discovery system</w:t>
      </w:r>
    </w:p>
    <w:p>
      <w:pPr>
        <w:spacing w:after="100" w:before="80"/>
      </w:pPr>
      <w:r>
        <w:rPr>
          <w:rFonts w:ascii="Arial" w:cs="Arial" w:eastAsia="Arial" w:hAnsi="Arial"/>
          <w:color w:val="1E293B"/>
          <w:sz w:val="22"/>
          <w:szCs w:val="22"/>
        </w:rPr>
        <w:t xml:space="preserve">Discovery finds new venues that are not yet in the database. It operates per-region using configurable search query templates against Google PSE or Brave Search.</w:t>
      </w:r>
    </w:p>
    <w:p>
      <w:pPr>
        <w:spacing w:after="0" w:before="120"/>
      </w:pPr>
    </w:p>
    <w:p>
      <w:pPr>
        <w:pStyle w:val="Heading3"/>
        <w:spacing w:after="100" w:before="240"/>
      </w:pPr>
      <w:r>
        <w:rPr>
          <w:rFonts w:ascii="Arial" w:cs="Arial" w:eastAsia="Arial" w:hAnsi="Arial"/>
          <w:b/>
          <w:bCs/>
          <w:color w:val="334155"/>
          <w:sz w:val="24"/>
          <w:szCs w:val="24"/>
        </w:rPr>
        <w:t xml:space="preserve">5.1 Region-based discovery flow</w:t>
      </w:r>
    </w:p>
    <w:p>
      <w:pPr>
        <w:pStyle w:val="ListParagraph"/>
        <w:numPr>
          <w:ilvl w:val="0"/>
          <w:numId w:val="2"/>
        </w:numPr>
        <w:spacing w:after="60" w:before="60"/>
      </w:pPr>
      <w:r>
        <w:rPr>
          <w:rFonts w:ascii="Arial" w:cs="Arial" w:eastAsia="Arial" w:hAnsi="Arial"/>
          <w:color w:val="1E293B"/>
          <w:sz w:val="22"/>
          <w:szCs w:val="22"/>
        </w:rPr>
        <w:t xml:space="preserve">Admin configures IngestRegion records (region name, country) and DiscoveryGoal (target venue count)</w:t>
      </w:r>
    </w:p>
    <w:p>
      <w:pPr>
        <w:pStyle w:val="ListParagraph"/>
        <w:numPr>
          <w:ilvl w:val="0"/>
          <w:numId w:val="2"/>
        </w:numPr>
        <w:spacing w:after="60" w:before="60"/>
      </w:pPr>
      <w:r>
        <w:rPr>
          <w:rFonts w:ascii="Arial" w:cs="Arial" w:eastAsia="Arial" w:hAnsi="Arial"/>
          <w:color w:val="1E293B"/>
          <w:sz w:val="22"/>
          <w:szCs w:val="22"/>
        </w:rPr>
        <w:t xml:space="preserve">runCronIngestRegions fires per region, generating IngestDiscoveryJob rows with search queries</w:t>
      </w:r>
    </w:p>
    <w:p>
      <w:pPr>
        <w:pStyle w:val="ListParagraph"/>
        <w:numPr>
          <w:ilvl w:val="0"/>
          <w:numId w:val="2"/>
        </w:numPr>
        <w:spacing w:after="60" w:before="60"/>
      </w:pPr>
      <w:r>
        <w:rPr>
          <w:rFonts w:ascii="Arial" w:cs="Arial" w:eastAsia="Arial" w:hAnsi="Arial"/>
          <w:color w:val="1E293B"/>
          <w:sz w:val="22"/>
          <w:szCs w:val="22"/>
        </w:rPr>
        <w:t xml:space="preserve">Each job uses a queryTemplate (e.g. "art gallery [region]", "contemporary art London") and records queryYield (seeded/queried ratio)</w:t>
      </w:r>
    </w:p>
    <w:p>
      <w:pPr>
        <w:pStyle w:val="ListParagraph"/>
        <w:numPr>
          <w:ilvl w:val="0"/>
          <w:numId w:val="2"/>
        </w:numPr>
        <w:spacing w:after="60" w:before="60"/>
      </w:pPr>
      <w:r>
        <w:rPr>
          <w:rFonts w:ascii="Arial" w:cs="Arial" w:eastAsia="Arial" w:hAnsi="Arial"/>
          <w:color w:val="1E293B"/>
          <w:sz w:val="22"/>
          <w:szCs w:val="22"/>
        </w:rPr>
        <w:t xml:space="preserve">runCronIngestDiscovery processes PENDING IngestDiscoveryCandidate rows, checks if URL exists as a venue, creates venue stubs for new ones</w:t>
      </w:r>
    </w:p>
    <w:p>
      <w:pPr>
        <w:pStyle w:val="ListParagraph"/>
        <w:numPr>
          <w:ilvl w:val="0"/>
          <w:numId w:val="2"/>
        </w:numPr>
        <w:spacing w:after="60" w:before="60"/>
      </w:pPr>
      <w:r>
        <w:rPr>
          <w:rFonts w:ascii="Arial" w:cs="Arial" w:eastAsia="Arial" w:hAnsi="Arial"/>
          <w:color w:val="1E293B"/>
          <w:sz w:val="22"/>
          <w:szCs w:val="22"/>
        </w:rPr>
        <w:t xml:space="preserve">Venue stubs go through the standard extraction pipeline on the next ingest cron run</w:t>
      </w:r>
    </w:p>
    <w:p>
      <w:pPr>
        <w:spacing w:after="0" w:before="120"/>
      </w:pPr>
    </w:p>
    <w:p>
      <w:pPr>
        <w:pStyle w:val="Heading3"/>
        <w:spacing w:after="100" w:before="240"/>
      </w:pPr>
      <w:r>
        <w:rPr>
          <w:rFonts w:ascii="Arial" w:cs="Arial" w:eastAsia="Arial" w:hAnsi="Arial"/>
          <w:b/>
          <w:bCs/>
          <w:color w:val="334155"/>
          <w:sz w:val="24"/>
          <w:szCs w:val="24"/>
        </w:rPr>
        <w:t xml:space="preserve">5.2 Template performance tracking</w:t>
      </w:r>
    </w:p>
    <w:p>
      <w:pPr>
        <w:spacing w:after="100" w:before="80"/>
      </w:pPr>
      <w:r>
        <w:rPr>
          <w:rFonts w:ascii="Arial" w:cs="Arial" w:eastAsia="Arial" w:hAnsi="Arial"/>
          <w:color w:val="1E293B"/>
          <w:sz w:val="22"/>
          <w:szCs w:val="22"/>
        </w:rPr>
        <w:t xml:space="preserve">Every discovery job records its queryYield — the ratio of candidates that became seeded venues. scoreTemplates aggregates yield per template over a configurable lookback window. Templates are ranked:</w:t>
      </w:r>
    </w:p>
    <w:p>
      <w:pPr>
        <w:pStyle w:val="ListParagraph"/>
        <w:numPr>
          <w:ilvl w:val="0"/>
          <w:numId w:val="2"/>
        </w:numPr>
        <w:spacing w:after="60" w:before="60"/>
      </w:pPr>
      <w:r>
        <w:rPr>
          <w:rFonts w:ascii="Arial" w:cs="Arial" w:eastAsia="Arial" w:hAnsi="Arial"/>
          <w:color w:val="1E293B"/>
          <w:sz w:val="22"/>
          <w:szCs w:val="22"/>
        </w:rPr>
        <w:t xml:space="preserve">avgYield ≥ 20%: performing well — AI suggestions reinforce similar patterns</w:t>
      </w:r>
    </w:p>
    <w:p>
      <w:pPr>
        <w:pStyle w:val="ListParagraph"/>
        <w:numPr>
          <w:ilvl w:val="0"/>
          <w:numId w:val="2"/>
        </w:numPr>
        <w:spacing w:after="60" w:before="60"/>
      </w:pPr>
      <w:r>
        <w:rPr>
          <w:rFonts w:ascii="Arial" w:cs="Arial" w:eastAsia="Arial" w:hAnsi="Arial"/>
          <w:color w:val="1E293B"/>
          <w:sz w:val="22"/>
          <w:szCs w:val="22"/>
        </w:rPr>
        <w:t xml:space="preserve">avgYield &lt; 10% after ≥3 jobs: performing poorly — AI suggestions avoid these patterns</w:t>
      </w:r>
    </w:p>
    <w:p>
      <w:pPr>
        <w:spacing w:after="0" w:before="120"/>
      </w:pPr>
    </w:p>
    <w:p>
      <w:pPr>
        <w:pStyle w:val="Heading3"/>
        <w:spacing w:after="100" w:before="240"/>
      </w:pPr>
      <w:r>
        <w:rPr>
          <w:rFonts w:ascii="Arial" w:cs="Arial" w:eastAsia="Arial" w:hAnsi="Arial"/>
          <w:b/>
          <w:bCs/>
          <w:color w:val="334155"/>
          <w:sz w:val="24"/>
          <w:szCs w:val="24"/>
        </w:rPr>
        <w:t xml:space="preserve">5.3 Adaptive template generation</w:t>
      </w:r>
    </w:p>
    <w:p>
      <w:pPr>
        <w:spacing w:after="100" w:before="80"/>
      </w:pPr>
      <w:r>
        <w:rPr>
          <w:rFonts w:ascii="Arial" w:cs="Arial" w:eastAsia="Arial" w:hAnsi="Arial"/>
          <w:color w:val="1E293B"/>
          <w:sz w:val="22"/>
          <w:szCs w:val="22"/>
        </w:rPr>
        <w:t xml:space="preserve">suggestAdaptiveTemplates calls the AI provider with performance data and recently seeded venue names to propose new search query templates that are likely to yield undiscovered venues. Suggestions are stored as IngestDiscoveryTemplateSuggestion records and surfaced in the admin discovery panel for human approval before use.</w:t>
      </w:r>
    </w:p>
    <w:p>
      <w:pPr>
        <w:spacing w:after="0" w:before="120"/>
      </w:pPr>
    </w:p>
    <w:p>
      <w:pPr>
        <w:pStyle w:val="Heading3"/>
        <w:spacing w:after="100" w:before="240"/>
      </w:pPr>
      <w:r>
        <w:rPr>
          <w:rFonts w:ascii="Arial" w:cs="Arial" w:eastAsia="Arial" w:hAnsi="Arial"/>
          <w:b/>
          <w:bCs/>
          <w:color w:val="334155"/>
          <w:sz w:val="24"/>
          <w:szCs w:val="24"/>
        </w:rPr>
        <w:t xml:space="preserve">5.4 Coverage tracking</w:t>
      </w:r>
    </w:p>
    <w:p>
      <w:pPr>
        <w:spacing w:after="100" w:before="80"/>
      </w:pPr>
      <w:r>
        <w:rPr>
          <w:rFonts w:ascii="Arial" w:cs="Arial" w:eastAsia="Arial" w:hAnsi="Arial"/>
          <w:color w:val="1E293B"/>
          <w:sz w:val="22"/>
          <w:szCs w:val="22"/>
        </w:rPr>
        <w:t xml:space="preserve">getRegionCoverageData aggregates per-region statistics:</w:t>
      </w:r>
    </w:p>
    <w:p>
      <w:pPr>
        <w:pStyle w:val="ListParagraph"/>
        <w:numPr>
          <w:ilvl w:val="0"/>
          <w:numId w:val="2"/>
        </w:numPr>
        <w:spacing w:after="60" w:before="60"/>
      </w:pPr>
      <w:r>
        <w:rPr>
          <w:rFonts w:ascii="Arial" w:cs="Arial" w:eastAsia="Arial" w:hAnsi="Arial"/>
          <w:color w:val="1E293B"/>
          <w:sz w:val="22"/>
          <w:szCs w:val="22"/>
        </w:rPr>
        <w:t xml:space="preserve">Total venues and published venues in DB matching the region</w:t>
      </w:r>
    </w:p>
    <w:p>
      <w:pPr>
        <w:pStyle w:val="ListParagraph"/>
        <w:numPr>
          <w:ilvl w:val="0"/>
          <w:numId w:val="2"/>
        </w:numPr>
        <w:spacing w:after="60" w:before="60"/>
      </w:pPr>
      <w:r>
        <w:rPr>
          <w:rFonts w:ascii="Arial" w:cs="Arial" w:eastAsia="Arial" w:hAnsi="Arial"/>
          <w:color w:val="1E293B"/>
          <w:sz w:val="22"/>
          <w:szCs w:val="22"/>
        </w:rPr>
        <w:t xml:space="preserve">Events published in the last 30 days from those venues</w:t>
      </w:r>
    </w:p>
    <w:p>
      <w:pPr>
        <w:pStyle w:val="ListParagraph"/>
        <w:numPr>
          <w:ilvl w:val="0"/>
          <w:numId w:val="2"/>
        </w:numPr>
        <w:spacing w:after="60" w:before="60"/>
      </w:pPr>
      <w:r>
        <w:rPr>
          <w:rFonts w:ascii="Arial" w:cs="Arial" w:eastAsia="Arial" w:hAnsi="Arial"/>
          <w:color w:val="1E293B"/>
          <w:sz w:val="22"/>
          <w:szCs w:val="22"/>
        </w:rPr>
        <w:t xml:space="preserve">Venues with at least one approved event (conversion rate signal)</w:t>
      </w:r>
    </w:p>
    <w:p>
      <w:pPr>
        <w:pStyle w:val="ListParagraph"/>
        <w:numPr>
          <w:ilvl w:val="0"/>
          <w:numId w:val="2"/>
        </w:numPr>
        <w:spacing w:after="60" w:before="60"/>
      </w:pPr>
      <w:r>
        <w:rPr>
          <w:rFonts w:ascii="Arial" w:cs="Arial" w:eastAsia="Arial" w:hAnsi="Arial"/>
          <w:color w:val="1E293B"/>
          <w:sz w:val="22"/>
          <w:szCs w:val="22"/>
        </w:rPr>
        <w:t xml:space="preserve">Progress toward active DiscoveryGoal (seeded count vs. target)</w:t>
      </w:r>
    </w:p>
    <w:p>
      <w:pPr>
        <w:spacing w:after="0" w:before="120"/>
      </w:pPr>
    </w:p>
    <w:p>
      <w:r>
        <w:br/>
      </w:r>
    </w:p>
    <w:p>
      <w:pPr>
        <w:pStyle w:val="Heading2"/>
        <w:pBdr>
          <w:bottom w:val="single" w:color="E2E8F0" w:sz="3"/>
        </w:pBdr>
        <w:spacing w:after="160" w:before="360"/>
      </w:pPr>
      <w:r>
        <w:rPr>
          <w:rFonts w:ascii="Arial" w:cs="Arial" w:eastAsia="Arial" w:hAnsi="Arial"/>
          <w:b/>
          <w:bCs/>
          <w:color w:val="1E293B"/>
          <w:sz w:val="30"/>
          <w:szCs w:val="30"/>
        </w:rPr>
        <w:t xml:space="preserve">6. Enrichment system</w:t>
      </w:r>
    </w:p>
    <w:p>
      <w:pPr>
        <w:spacing w:after="100" w:before="80"/>
      </w:pPr>
      <w:r>
        <w:rPr>
          <w:rFonts w:ascii="Arial" w:cs="Arial" w:eastAsia="Arial" w:hAnsi="Arial"/>
          <w:color w:val="1E293B"/>
          <w:sz w:val="22"/>
          <w:szCs w:val="22"/>
        </w:rPr>
        <w:t xml:space="preserve">Enrichment improves data quality on already-published or staged records. It uses search (Google PSE or Brave) to find authoritative sources, fetches them, and extracts structured data via AI.</w:t>
      </w:r>
    </w:p>
    <w:p>
      <w:pPr>
        <w:spacing w:after="0" w:before="120"/>
      </w:pPr>
    </w:p>
    <w:p>
      <w:pPr>
        <w:pStyle w:val="Heading3"/>
        <w:spacing w:after="100" w:before="240"/>
      </w:pPr>
      <w:r>
        <w:rPr>
          <w:rFonts w:ascii="Arial" w:cs="Arial" w:eastAsia="Arial" w:hAnsi="Arial"/>
          <w:b/>
          <w:bCs/>
          <w:color w:val="334155"/>
          <w:sz w:val="24"/>
          <w:szCs w:val="24"/>
        </w:rPr>
        <w:t xml:space="preserve">6.1 Enrichment 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1E293B"/>
                <w:sz w:val="20"/>
                <w:szCs w:val="20"/>
              </w:rPr>
              <w:t xml:space="preserve">ARTIST_BIO</w:t>
            </w:r>
          </w:p>
        </w:tc>
        <w:tc>
          <w:tcPr>
            <w:tcW w:type="dxa" w:w="648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Search for artist name, fetch top result, extract bio + mediums + URLs</w:t>
            </w:r>
          </w:p>
        </w:tc>
      </w:tr>
      <w:tr>
        <w:tc>
          <w:tcPr>
            <w:tcW w:type="dxa" w:w="28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E293B"/>
                <w:sz w:val="20"/>
                <w:szCs w:val="20"/>
              </w:rPr>
              <w:t xml:space="preserve">ARTIST_IMAGE</w:t>
            </w:r>
          </w:p>
        </w:tc>
        <w:tc>
          <w:tcPr>
            <w:tcW w:type="dxa" w:w="64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Search for artist name photo, find image URL from authoritative art sites</w:t>
            </w:r>
          </w:p>
        </w:tc>
      </w:tr>
      <w:tr>
        <w:tc>
          <w:tcPr>
            <w:tcW w:type="dxa" w:w="288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1E293B"/>
                <w:sz w:val="20"/>
                <w:szCs w:val="20"/>
              </w:rPr>
              <w:t xml:space="preserve">ARTWORK_DESCRIPTION</w:t>
            </w:r>
          </w:p>
        </w:tc>
        <w:tc>
          <w:tcPr>
            <w:tcW w:type="dxa" w:w="648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Search for artwork title + artist, extract description from page</w:t>
            </w:r>
          </w:p>
        </w:tc>
      </w:tr>
      <w:tr>
        <w:tc>
          <w:tcPr>
            <w:tcW w:type="dxa" w:w="28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E293B"/>
                <w:sz w:val="20"/>
                <w:szCs w:val="20"/>
              </w:rPr>
              <w:t xml:space="preserve">ARTWORK_IMAGE</w:t>
            </w:r>
          </w:p>
        </w:tc>
        <w:tc>
          <w:tcPr>
            <w:tcW w:type="dxa" w:w="64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Search for artwork, find primary image URL</w:t>
            </w:r>
          </w:p>
        </w:tc>
      </w:tr>
      <w:tr>
        <w:tc>
          <w:tcPr>
            <w:tcW w:type="dxa" w:w="288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1E293B"/>
                <w:sz w:val="20"/>
                <w:szCs w:val="20"/>
              </w:rPr>
              <w:t xml:space="preserve">VENUE_DESCRIPTION</w:t>
            </w:r>
          </w:p>
        </w:tc>
        <w:tc>
          <w:tcPr>
            <w:tcW w:type="dxa" w:w="648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Search for venue name, extract factual description</w:t>
            </w:r>
          </w:p>
        </w:tc>
      </w:tr>
      <w:tr>
        <w:tc>
          <w:tcPr>
            <w:tcW w:type="dxa" w:w="28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E293B"/>
                <w:sz w:val="20"/>
                <w:szCs w:val="20"/>
              </w:rPr>
              <w:t xml:space="preserve">EVENT_IMAGE</w:t>
            </w:r>
          </w:p>
        </w:tc>
        <w:tc>
          <w:tcPr>
            <w:tcW w:type="dxa" w:w="64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Search for event title + venue, find event-specific image</w:t>
            </w:r>
          </w:p>
        </w:tc>
      </w:tr>
    </w:tbl>
    <w:p>
      <w:pPr>
        <w:spacing w:after="0" w:before="120"/>
      </w:pPr>
    </w:p>
    <w:p>
      <w:pPr>
        <w:pStyle w:val="Heading3"/>
        <w:spacing w:after="100" w:before="240"/>
      </w:pPr>
      <w:r>
        <w:rPr>
          <w:rFonts w:ascii="Arial" w:cs="Arial" w:eastAsia="Arial" w:hAnsi="Arial"/>
          <w:b/>
          <w:bCs/>
          <w:color w:val="334155"/>
          <w:sz w:val="24"/>
          <w:szCs w:val="24"/>
        </w:rPr>
        <w:t xml:space="preserve">6.2 Search result scoring</w:t>
      </w:r>
    </w:p>
    <w:p>
      <w:pPr>
        <w:spacing w:after="100" w:before="80"/>
      </w:pPr>
      <w:r>
        <w:rPr>
          <w:rFonts w:ascii="Arial" w:cs="Arial" w:eastAsia="Arial" w:hAnsi="Arial"/>
          <w:color w:val="1E293B"/>
          <w:sz w:val="22"/>
          <w:szCs w:val="22"/>
        </w:rPr>
        <w:t xml:space="preserve">For artist bio enrichment, search results are scored before fetching: +2 if snippet contains artist name, +1 if URL contains artist slug, +1 if URL is from a known authoritative art domain (artsy.net, tate.org.uk, moma.org, royalacademy.org.uk, saatchigallery.com, frieze.com, artforum.com). The highest-scoring result is fetched for extraction.</w:t>
      </w:r>
    </w:p>
    <w:p>
      <w:pPr>
        <w:spacing w:after="0" w:before="120"/>
      </w:pPr>
    </w:p>
    <w:p>
      <w:pPr>
        <w:pStyle w:val="Heading3"/>
        <w:spacing w:after="100" w:before="240"/>
      </w:pPr>
      <w:r>
        <w:rPr>
          <w:rFonts w:ascii="Arial" w:cs="Arial" w:eastAsia="Arial" w:hAnsi="Arial"/>
          <w:b/>
          <w:bCs/>
          <w:color w:val="334155"/>
          <w:sz w:val="24"/>
          <w:szCs w:val="24"/>
        </w:rPr>
        <w:t xml:space="preserve">6.3 shouldApply logic</w:t>
      </w:r>
    </w:p>
    <w:p>
      <w:pPr>
        <w:spacing w:after="100" w:before="80"/>
      </w:pPr>
      <w:r>
        <w:rPr>
          <w:rFonts w:ascii="Arial" w:cs="Arial" w:eastAsia="Arial" w:hAnsi="Arial"/>
          <w:color w:val="1E293B"/>
          <w:sz w:val="22"/>
          <w:szCs w:val="22"/>
        </w:rPr>
        <w:t xml:space="preserve">Before writing back any enriched value, shouldApply checks: the incoming value must be non-empty; if the field is already populated, it is only overwritten when gapFilter is ALL and the incoming value is longer (more complete). This prevents shorter or lower-quality enrichment from degrading existing data.</w:t>
      </w:r>
    </w:p>
    <w:p>
      <w:pPr>
        <w:spacing w:after="0" w:before="120"/>
      </w:pPr>
    </w:p>
    <w:p>
      <w:pPr>
        <w:pStyle w:val="Heading3"/>
        <w:spacing w:after="100" w:before="240"/>
      </w:pPr>
      <w:r>
        <w:rPr>
          <w:rFonts w:ascii="Arial" w:cs="Arial" w:eastAsia="Arial" w:hAnsi="Arial"/>
          <w:b/>
          <w:bCs/>
          <w:color w:val="334155"/>
          <w:sz w:val="24"/>
          <w:szCs w:val="24"/>
        </w:rPr>
        <w:t xml:space="preserve">6.4 Enrichment observability</w:t>
      </w:r>
    </w:p>
    <w:p>
      <w:pPr>
        <w:spacing w:after="100" w:before="80"/>
      </w:pPr>
      <w:r>
        <w:rPr>
          <w:rFonts w:ascii="Arial" w:cs="Arial" w:eastAsia="Arial" w:hAnsi="Arial"/>
          <w:color w:val="1E293B"/>
          <w:sz w:val="22"/>
          <w:szCs w:val="22"/>
        </w:rPr>
        <w:t xml:space="preserve">Every enrichment operation returns EnrichItemResult: status (success/skipped/failed), fieldsChanged array, fieldsBefore and fieldsAfter snapshots, confidenceBefore and confidenceAfter scores, and the searchUrl that was used. EnrichmentRun rows in the DB aggregate batch statistics for admin monitoring.</w:t>
      </w:r>
    </w:p>
    <w:p>
      <w:pPr>
        <w:spacing w:after="0" w:before="120"/>
      </w:pPr>
    </w:p>
    <w:p>
      <w:r>
        <w:br/>
      </w:r>
    </w:p>
    <w:p>
      <w:pPr>
        <w:pStyle w:val="Heading2"/>
        <w:pBdr>
          <w:bottom w:val="single" w:color="E2E8F0" w:sz="3"/>
        </w:pBdr>
        <w:spacing w:after="160" w:before="360"/>
      </w:pPr>
      <w:r>
        <w:rPr>
          <w:rFonts w:ascii="Arial" w:cs="Arial" w:eastAsia="Arial" w:hAnsi="Arial"/>
          <w:b/>
          <w:bCs/>
          <w:color w:val="1E293B"/>
          <w:sz w:val="30"/>
          <w:szCs w:val="30"/>
        </w:rPr>
        <w:t xml:space="preserve">7. Cron orchestration</w:t>
      </w:r>
    </w:p>
    <w:p>
      <w:pPr>
        <w:pStyle w:val="Heading3"/>
        <w:spacing w:after="100" w:before="240"/>
      </w:pPr>
      <w:r>
        <w:rPr>
          <w:rFonts w:ascii="Arial" w:cs="Arial" w:eastAsia="Arial" w:hAnsi="Arial"/>
          <w:b/>
          <w:bCs/>
          <w:color w:val="334155"/>
          <w:sz w:val="24"/>
          <w:szCs w:val="24"/>
        </w:rPr>
        <w:t xml:space="preserve">7.1 Scheduling model</w:t>
      </w:r>
    </w:p>
    <w:p>
      <w:pPr>
        <w:spacing w:after="100" w:before="80"/>
      </w:pPr>
      <w:r>
        <w:rPr>
          <w:rFonts w:ascii="Arial" w:cs="Arial" w:eastAsia="Arial" w:hAnsi="Arial"/>
          <w:color w:val="1E293B"/>
          <w:sz w:val="22"/>
          <w:szCs w:val="22"/>
        </w:rPr>
        <w:t xml:space="preserve">No Vercel-managed cron entries exist. All scheduling is driven by external pings to POST /api/cron/tick from an uptime monitor (UptimeRobot or similar). The tick route dispatches sub-jobs based on DB-configured schedules in CronJob records. This avoids Vercel Pro plan requirements for high-frequency crons.</w:t>
      </w:r>
    </w:p>
    <w:p>
      <w:pPr>
        <w:spacing w:after="0" w:before="120"/>
      </w:pPr>
    </w:p>
    <w:p>
      <w:pPr>
        <w:pStyle w:val="Heading3"/>
        <w:spacing w:after="100" w:before="240"/>
      </w:pPr>
      <w:r>
        <w:rPr>
          <w:rFonts w:ascii="Arial" w:cs="Arial" w:eastAsia="Arial" w:hAnsi="Arial"/>
          <w:b/>
          <w:bCs/>
          <w:color w:val="334155"/>
          <w:sz w:val="24"/>
          <w:szCs w:val="24"/>
        </w:rPr>
        <w:t xml:space="preserve">7.2 Venue ingest frequency</w:t>
      </w:r>
    </w:p>
    <w:p>
      <w:pPr>
        <w:spacing w:after="100" w:before="80"/>
      </w:pPr>
      <w:r>
        <w:rPr>
          <w:rFonts w:ascii="Arial" w:cs="Arial" w:eastAsia="Arial" w:hAnsi="Arial"/>
          <w:color w:val="1E293B"/>
          <w:sz w:val="22"/>
          <w:szCs w:val="22"/>
        </w:rPr>
        <w:t xml:space="preserve">Each venue has an ingestFrequency field (DAILY, WEEKLY, MONTHLY, MANUAL). The engagement-ingest-frequency cron runs weekly and adjusts frequency based on the last 30 days of published event count and engagement event count:</w:t>
      </w:r>
    </w:p>
    <w:p>
      <w:pPr>
        <w:pStyle w:val="ListParagraph"/>
        <w:numPr>
          <w:ilvl w:val="0"/>
          <w:numId w:val="2"/>
        </w:numPr>
        <w:spacing w:after="60" w:before="60"/>
      </w:pPr>
      <w:r>
        <w:rPr>
          <w:rFonts w:ascii="Arial" w:cs="Arial" w:eastAsia="Arial" w:hAnsi="Arial"/>
          <w:color w:val="1E293B"/>
          <w:sz w:val="22"/>
          <w:szCs w:val="22"/>
        </w:rPr>
        <w:t xml:space="preserve">≥5 events AND ≥20 engagements → DAILY</w:t>
      </w:r>
    </w:p>
    <w:p>
      <w:pPr>
        <w:pStyle w:val="ListParagraph"/>
        <w:numPr>
          <w:ilvl w:val="0"/>
          <w:numId w:val="2"/>
        </w:numPr>
        <w:spacing w:after="60" w:before="60"/>
      </w:pPr>
      <w:r>
        <w:rPr>
          <w:rFonts w:ascii="Arial" w:cs="Arial" w:eastAsia="Arial" w:hAnsi="Arial"/>
          <w:color w:val="1E293B"/>
          <w:sz w:val="22"/>
          <w:szCs w:val="22"/>
        </w:rPr>
        <w:t xml:space="preserve">≥2 events AND ≥5 engagements → WEEKLY</w:t>
      </w:r>
    </w:p>
    <w:p>
      <w:pPr>
        <w:pStyle w:val="ListParagraph"/>
        <w:numPr>
          <w:ilvl w:val="0"/>
          <w:numId w:val="2"/>
        </w:numPr>
        <w:spacing w:after="60" w:before="60"/>
      </w:pPr>
      <w:r>
        <w:rPr>
          <w:rFonts w:ascii="Arial" w:cs="Arial" w:eastAsia="Arial" w:hAnsi="Arial"/>
          <w:color w:val="1E293B"/>
          <w:sz w:val="22"/>
          <w:szCs w:val="22"/>
        </w:rPr>
        <w:t xml:space="preserve">Otherwise → MONTHLY</w:t>
      </w:r>
    </w:p>
    <w:p>
      <w:pPr>
        <w:pStyle w:val="ListParagraph"/>
        <w:numPr>
          <w:ilvl w:val="0"/>
          <w:numId w:val="2"/>
        </w:numPr>
        <w:spacing w:after="60" w:before="60"/>
      </w:pPr>
      <w:r>
        <w:rPr>
          <w:rFonts w:ascii="Arial" w:cs="Arial" w:eastAsia="Arial" w:hAnsi="Arial"/>
          <w:color w:val="1E293B"/>
          <w:sz w:val="22"/>
          <w:szCs w:val="22"/>
        </w:rPr>
        <w:t xml:space="preserve">MANUAL venues are never auto-adjusted</w:t>
      </w:r>
    </w:p>
    <w:p>
      <w:pPr>
        <w:spacing w:after="0" w:before="120"/>
      </w:pPr>
    </w:p>
    <w:p>
      <w:pPr>
        <w:pStyle w:val="Heading3"/>
        <w:spacing w:after="100" w:before="240"/>
      </w:pPr>
      <w:r>
        <w:rPr>
          <w:rFonts w:ascii="Arial" w:cs="Arial" w:eastAsia="Arial" w:hAnsi="Arial"/>
          <w:b/>
          <w:bCs/>
          <w:color w:val="334155"/>
          <w:sz w:val="24"/>
          <w:szCs w:val="24"/>
        </w:rPr>
        <w:t xml:space="preserve">7.3 Circuit breaker</w:t>
      </w:r>
    </w:p>
    <w:p>
      <w:pPr>
        <w:spacing w:after="100" w:before="80"/>
      </w:pPr>
      <w:r>
        <w:rPr>
          <w:rFonts w:ascii="Arial" w:cs="Arial" w:eastAsia="Arial" w:hAnsi="Arial"/>
          <w:color w:val="1E293B"/>
          <w:sz w:val="22"/>
          <w:szCs w:val="22"/>
        </w:rPr>
        <w:t xml:space="preserve">The venue ingest cron has a circuit breaker: if the recent failure rate (configurable window and minimum runs) exceeds a threshold, the cron skips with reason circuit_breaker_open. Safe overrides: raise candidate caps before raising venue caps; keep circuit breaker enabled in production.</w:t>
      </w:r>
    </w:p>
    <w:p>
      <w:pPr>
        <w:spacing w:after="0" w:before="120"/>
      </w:pPr>
    </w:p>
    <w:p>
      <w:pPr>
        <w:pStyle w:val="Heading3"/>
        <w:spacing w:after="100" w:before="240"/>
      </w:pPr>
      <w:r>
        <w:rPr>
          <w:rFonts w:ascii="Arial" w:cs="Arial" w:eastAsia="Arial" w:hAnsi="Arial"/>
          <w:b/>
          <w:bCs/>
          <w:color w:val="334155"/>
          <w:sz w:val="24"/>
          <w:szCs w:val="24"/>
        </w:rPr>
        <w:t xml:space="preserve">7.4 Volume guardrails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1E293B"/>
                <w:sz w:val="20"/>
                <w:szCs w:val="20"/>
              </w:rPr>
              <w:t xml:space="preserve">AI_INGEST_MAX_CANDIDATES_PER_VENUE_RUN</w:t>
            </w:r>
          </w:p>
        </w:tc>
        <w:tc>
          <w:tcPr>
            <w:tcW w:type="dxa" w:w="648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Max events persisted per venue run (default 25)</w:t>
            </w:r>
          </w:p>
        </w:tc>
      </w:tr>
      <w:tr>
        <w:tc>
          <w:tcPr>
            <w:tcW w:type="dxa" w:w="28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E293B"/>
                <w:sz w:val="20"/>
                <w:szCs w:val="20"/>
              </w:rPr>
              <w:t xml:space="preserve">AI_INGEST_CRON_MAX_VENUES</w:t>
            </w:r>
          </w:p>
        </w:tc>
        <w:tc>
          <w:tcPr>
            <w:tcW w:type="dxa" w:w="64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Max venues per cron invocation (hard cap 25)</w:t>
            </w:r>
          </w:p>
        </w:tc>
      </w:tr>
      <w:tr>
        <w:tc>
          <w:tcPr>
            <w:tcW w:type="dxa" w:w="288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1E293B"/>
                <w:sz w:val="20"/>
                <w:szCs w:val="20"/>
              </w:rPr>
              <w:t xml:space="preserve">AI_INGEST_CRON_MAX_TOTAL_CREATED_CANDIDATES</w:t>
            </w:r>
          </w:p>
        </w:tc>
        <w:tc>
          <w:tcPr>
            <w:tcW w:type="dxa" w:w="648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Total candidates cap per cron run (default 100)</w:t>
            </w:r>
          </w:p>
        </w:tc>
      </w:tr>
      <w:tr>
        <w:tc>
          <w:tcPr>
            <w:tcW w:type="dxa" w:w="28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E293B"/>
                <w:sz w:val="20"/>
                <w:szCs w:val="20"/>
              </w:rPr>
              <w:t xml:space="preserve">AI_INGEST_CRON_TIME_BUDGET_MS</w:t>
            </w:r>
          </w:p>
        </w:tc>
        <w:tc>
          <w:tcPr>
            <w:tcW w:type="dxa" w:w="64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Soft runtime budget (default 120 000ms)</w:t>
            </w:r>
          </w:p>
        </w:tc>
      </w:tr>
      <w:tr>
        <w:tc>
          <w:tcPr>
            <w:tcW w:type="dxa" w:w="288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1E293B"/>
                <w:sz w:val="20"/>
                <w:szCs w:val="20"/>
              </w:rPr>
              <w:t xml:space="preserve">AI_INGEST_DUPLICATE_LOOKBACK_DAYS</w:t>
            </w:r>
          </w:p>
        </w:tc>
        <w:tc>
          <w:tcPr>
            <w:tcW w:type="dxa" w:w="648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Historical dedup window (default 30 days)</w:t>
            </w:r>
          </w:p>
        </w:tc>
      </w:tr>
      <w:tr>
        <w:tc>
          <w:tcPr>
            <w:tcW w:type="dxa" w:w="28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E293B"/>
                <w:sz w:val="20"/>
                <w:szCs w:val="20"/>
              </w:rPr>
              <w:t xml:space="preserve">AI_INGEST_DUPLICATE_SIMILARITY_THRESHOLD</w:t>
            </w:r>
          </w:p>
        </w:tc>
        <w:tc>
          <w:tcPr>
            <w:tcW w:type="dxa" w:w="64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Similarity score to mark as duplicate (default 85)</w:t>
            </w:r>
          </w:p>
        </w:tc>
      </w:tr>
    </w:tbl>
    <w:p>
      <w:pPr>
        <w:spacing w:after="0" w:before="120"/>
      </w:pPr>
    </w:p>
    <w:p>
      <w:pPr>
        <w:pStyle w:val="Heading3"/>
        <w:spacing w:after="100" w:before="240"/>
      </w:pPr>
      <w:r>
        <w:rPr>
          <w:rFonts w:ascii="Arial" w:cs="Arial" w:eastAsia="Arial" w:hAnsi="Arial"/>
          <w:b/>
          <w:bCs/>
          <w:color w:val="334155"/>
          <w:sz w:val="24"/>
          <w:szCs w:val="24"/>
        </w:rPr>
        <w:t xml:space="preserve">7.5 Lock system</w:t>
      </w:r>
    </w:p>
    <w:p>
      <w:pPr>
        <w:spacing w:after="100" w:before="80"/>
      </w:pPr>
      <w:r>
        <w:rPr>
          <w:rFonts w:ascii="Arial" w:cs="Arial" w:eastAsia="Arial" w:hAnsi="Arial"/>
          <w:color w:val="1E293B"/>
          <w:sz w:val="22"/>
          <w:szCs w:val="22"/>
        </w:rPr>
        <w:t xml:space="preserve">tryAcquireCronLock uses an advisory lock pattern in the DB (CronJob table or equivalent) to prevent concurrent execution of the same cron type. If the lock is not acquired, the cron returns 200 with lock: skipped — it does not fail. Locks are released in finally blocks.</w:t>
      </w:r>
    </w:p>
    <w:p>
      <w:pPr>
        <w:spacing w:after="0" w:before="120"/>
      </w:pPr>
    </w:p>
    <w:p>
      <w:r>
        <w:br/>
      </w:r>
    </w:p>
    <w:p>
      <w:pPr>
        <w:pStyle w:val="Heading2"/>
        <w:pBdr>
          <w:bottom w:val="single" w:color="E2E8F0" w:sz="3"/>
        </w:pBdr>
        <w:spacing w:after="160" w:before="360"/>
      </w:pPr>
      <w:r>
        <w:rPr>
          <w:rFonts w:ascii="Arial" w:cs="Arial" w:eastAsia="Arial" w:hAnsi="Arial"/>
          <w:b/>
          <w:bCs/>
          <w:color w:val="1E293B"/>
          <w:sz w:val="30"/>
          <w:szCs w:val="30"/>
        </w:rPr>
        <w:t xml:space="preserve">8. Auto-approval rules</w:t>
      </w:r>
    </w:p>
    <w:p>
      <w:pPr>
        <w:spacing w:after="100" w:before="80"/>
      </w:pPr>
      <w:r>
        <w:rPr>
          <w:rFonts w:ascii="Arial" w:cs="Arial" w:eastAsia="Arial" w:hAnsi="Arial"/>
          <w:color w:val="1E293B"/>
          <w:sz w:val="22"/>
          <w:szCs w:val="22"/>
        </w:rPr>
        <w:t xml:space="preserve">High-confidence candidates can be automatically approved without admin review. This is gated by feature flags in SiteSettings:</w:t>
      </w:r>
    </w:p>
    <w:p>
      <w:pPr>
        <w:pStyle w:val="ListParagraph"/>
        <w:numPr>
          <w:ilvl w:val="0"/>
          <w:numId w:val="2"/>
        </w:numPr>
        <w:spacing w:after="60" w:before="60"/>
      </w:pPr>
      <w:r>
        <w:rPr>
          <w:rFonts w:ascii="Arial" w:cs="Arial" w:eastAsia="Arial" w:hAnsi="Arial"/>
          <w:color w:val="1E293B"/>
          <w:sz w:val="22"/>
          <w:szCs w:val="22"/>
        </w:rPr>
        <w:t xml:space="preserve">regionAutoPublishEvents: auto-approve HIGH confidence events</w:t>
      </w:r>
    </w:p>
    <w:p>
      <w:pPr>
        <w:pStyle w:val="ListParagraph"/>
        <w:numPr>
          <w:ilvl w:val="0"/>
          <w:numId w:val="2"/>
        </w:numPr>
        <w:spacing w:after="60" w:before="60"/>
      </w:pPr>
      <w:r>
        <w:rPr>
          <w:rFonts w:ascii="Arial" w:cs="Arial" w:eastAsia="Arial" w:hAnsi="Arial"/>
          <w:color w:val="1E293B"/>
          <w:sz w:val="22"/>
          <w:szCs w:val="22"/>
        </w:rPr>
        <w:t xml:space="preserve">regionAutoPublishArtists: auto-approve HIGH confidence artist candidates</w:t>
      </w:r>
    </w:p>
    <w:p>
      <w:pPr>
        <w:pStyle w:val="ListParagraph"/>
        <w:numPr>
          <w:ilvl w:val="0"/>
          <w:numId w:val="2"/>
        </w:numPr>
        <w:spacing w:after="60" w:before="60"/>
      </w:pPr>
      <w:r>
        <w:rPr>
          <w:rFonts w:ascii="Arial" w:cs="Arial" w:eastAsia="Arial" w:hAnsi="Arial"/>
          <w:color w:val="1E293B"/>
          <w:sz w:val="22"/>
          <w:szCs w:val="22"/>
        </w:rPr>
        <w:t xml:space="preserve">regionAutoPublishArtworks: auto-approve HIGH confidence artwork candidates</w:t>
      </w:r>
    </w:p>
    <w:p>
      <w:pPr>
        <w:spacing w:after="0" w:before="120"/>
      </w:pPr>
    </w:p>
    <w:p>
      <w:pPr>
        <w:spacing w:after="100" w:before="80"/>
      </w:pPr>
      <w:r>
        <w:rPr>
          <w:rFonts w:ascii="Arial" w:cs="Arial" w:eastAsia="Arial" w:hAnsi="Arial"/>
          <w:color w:val="1E293B"/>
          <w:sz w:val="22"/>
          <w:szCs w:val="22"/>
        </w:rPr>
        <w:t xml:space="preserve">Auto-approval runs at the end of each venue ingest run, after all candidates are persisted. It only touches HIGH band candidates with duplicateOfId = null. The approval path creates the published Event/Artist/Artwork record, handles image import if AI_INGEST_IMAGE_ENABLED=1, and notifies the system. Failures are non-blocking — the candidate stays PENDING for manual review.</w:t>
      </w:r>
    </w:p>
    <w:p>
      <w:pPr>
        <w:spacing w:after="0" w:before="120"/>
      </w:pPr>
    </w:p>
    <w:p>
      <w:r>
        <w:br/>
      </w:r>
    </w:p>
    <w:p>
      <w:pPr>
        <w:pStyle w:val="Heading2"/>
        <w:pBdr>
          <w:bottom w:val="single" w:color="E2E8F0" w:sz="3"/>
        </w:pBdr>
        <w:spacing w:after="160" w:before="360"/>
      </w:pPr>
      <w:r>
        <w:rPr>
          <w:rFonts w:ascii="Arial" w:cs="Arial" w:eastAsia="Arial" w:hAnsi="Arial"/>
          <w:b/>
          <w:bCs/>
          <w:color w:val="1E293B"/>
          <w:sz w:val="30"/>
          <w:szCs w:val="30"/>
        </w:rPr>
        <w:t xml:space="preserve">9. Quality and data gap system</w:t>
      </w:r>
    </w:p>
    <w:p>
      <w:pPr>
        <w:pStyle w:val="Heading3"/>
        <w:spacing w:after="100" w:before="240"/>
      </w:pPr>
      <w:r>
        <w:rPr>
          <w:rFonts w:ascii="Arial" w:cs="Arial" w:eastAsia="Arial" w:hAnsi="Arial"/>
          <w:b/>
          <w:bCs/>
          <w:color w:val="334155"/>
          <w:sz w:val="24"/>
          <w:szCs w:val="24"/>
        </w:rPr>
        <w:t xml:space="preserve">9.1 Completeness lifecycle</w:t>
      </w:r>
    </w:p>
    <w:p>
      <w:pPr>
        <w:spacing w:after="100" w:before="80"/>
      </w:pPr>
      <w:r>
        <w:rPr>
          <w:rFonts w:ascii="Arial" w:cs="Arial" w:eastAsia="Arial" w:hAnsi="Arial"/>
          <w:color w:val="1E293B"/>
          <w:sz w:val="22"/>
          <w:szCs w:val="22"/>
        </w:rPr>
        <w:t xml:space="preserve">Artworks, artists, and venues all have completenessScore and completenessFlags fields. These are computed by nightly crons and are used to:</w:t>
      </w:r>
    </w:p>
    <w:p>
      <w:pPr>
        <w:pStyle w:val="ListParagraph"/>
        <w:numPr>
          <w:ilvl w:val="0"/>
          <w:numId w:val="2"/>
        </w:numPr>
        <w:spacing w:after="60" w:before="60"/>
      </w:pPr>
      <w:r>
        <w:rPr>
          <w:rFonts w:ascii="Arial" w:cs="Arial" w:eastAsia="Arial" w:hAnsi="Arial"/>
          <w:color w:val="1E293B"/>
          <w:sz w:val="22"/>
          <w:szCs w:val="22"/>
        </w:rPr>
        <w:t xml:space="preserve">Sort the Data Gaps Explorer by lowest score first</w:t>
      </w:r>
    </w:p>
    <w:p>
      <w:pPr>
        <w:pStyle w:val="ListParagraph"/>
        <w:numPr>
          <w:ilvl w:val="0"/>
          <w:numId w:val="2"/>
        </w:numPr>
        <w:spacing w:after="60" w:before="60"/>
      </w:pPr>
      <w:r>
        <w:rPr>
          <w:rFonts w:ascii="Arial" w:cs="Arial" w:eastAsia="Arial" w:hAnsi="Arial"/>
          <w:color w:val="1E293B"/>
          <w:sz w:val="22"/>
          <w:szCs w:val="22"/>
        </w:rPr>
        <w:t xml:space="preserve">Drive the image recovery cron (targets MISSING_IMAGE flagged artworks)</w:t>
      </w:r>
    </w:p>
    <w:p>
      <w:pPr>
        <w:pStyle w:val="ListParagraph"/>
        <w:numPr>
          <w:ilvl w:val="0"/>
          <w:numId w:val="2"/>
        </w:numPr>
        <w:spacing w:after="60" w:before="60"/>
      </w:pPr>
      <w:r>
        <w:rPr>
          <w:rFonts w:ascii="Arial" w:cs="Arial" w:eastAsia="Arial" w:hAnsi="Arial"/>
          <w:color w:val="1E293B"/>
          <w:sz w:val="22"/>
          <w:szCs w:val="22"/>
        </w:rPr>
        <w:t xml:space="preserve">Drive the AI description generation cron (targets score &lt;60)</w:t>
      </w:r>
    </w:p>
    <w:p>
      <w:pPr>
        <w:pStyle w:val="ListParagraph"/>
        <w:numPr>
          <w:ilvl w:val="0"/>
          <w:numId w:val="2"/>
        </w:numPr>
        <w:spacing w:after="60" w:before="60"/>
      </w:pPr>
      <w:r>
        <w:rPr>
          <w:rFonts w:ascii="Arial" w:cs="Arial" w:eastAsia="Arial" w:hAnsi="Arial"/>
          <w:color w:val="1E293B"/>
          <w:sz w:val="22"/>
          <w:szCs w:val="22"/>
        </w:rPr>
        <w:t xml:space="preserve">Drive the auto-tagging cron (targets untagged artworks)</w:t>
      </w:r>
    </w:p>
    <w:p>
      <w:pPr>
        <w:pStyle w:val="ListParagraph"/>
        <w:numPr>
          <w:ilvl w:val="0"/>
          <w:numId w:val="2"/>
        </w:numPr>
        <w:spacing w:after="60" w:before="60"/>
      </w:pPr>
      <w:r>
        <w:rPr>
          <w:rFonts w:ascii="Arial" w:cs="Arial" w:eastAsia="Arial" w:hAnsi="Arial"/>
          <w:color w:val="1E293B"/>
          <w:sz w:val="22"/>
          <w:szCs w:val="22"/>
        </w:rPr>
        <w:t xml:space="preserve">Feed the Quality Overview tab with aggregate statistics</w:t>
      </w:r>
    </w:p>
    <w:p>
      <w:pPr>
        <w:spacing w:after="0" w:before="120"/>
      </w:pPr>
    </w:p>
    <w:p>
      <w:pPr>
        <w:pStyle w:val="Heading3"/>
        <w:spacing w:after="100" w:before="240"/>
      </w:pPr>
      <w:r>
        <w:rPr>
          <w:rFonts w:ascii="Arial" w:cs="Arial" w:eastAsia="Arial" w:hAnsi="Arial"/>
          <w:b/>
          <w:bCs/>
          <w:color w:val="334155"/>
          <w:sz w:val="24"/>
          <w:szCs w:val="24"/>
        </w:rPr>
        <w:t xml:space="preserve">9.2 Normalisation pipeline (deterministic, no AI)</w:t>
      </w:r>
    </w:p>
    <w:p>
      <w:pPr>
        <w:spacing w:after="100" w:before="80"/>
      </w:pPr>
      <w:r>
        <w:rPr>
          <w:rFonts w:ascii="Arial" w:cs="Arial" w:eastAsia="Arial" w:hAnsi="Arial"/>
          <w:color w:val="1E293B"/>
          <w:sz w:val="22"/>
          <w:szCs w:val="22"/>
        </w:rPr>
        <w:t xml:space="preserve">cron-normalize-artwork-fields runs before the AI enrichment crons. It applies deterministic transforms: medium canonicalisation (17 pattern rules, e.g. oil on canvas, watercolour), year extraction from title when year field is null. Any field change resets completenessUpdatedAt to null, queuing the artwork for rescore.</w:t>
      </w:r>
    </w:p>
    <w:p>
      <w:pPr>
        <w:spacing w:after="0" w:before="120"/>
      </w:pPr>
    </w:p>
    <w:p>
      <w:pPr>
        <w:pStyle w:val="Heading3"/>
        <w:spacing w:after="100" w:before="240"/>
      </w:pPr>
      <w:r>
        <w:rPr>
          <w:rFonts w:ascii="Arial" w:cs="Arial" w:eastAsia="Arial" w:hAnsi="Arial"/>
          <w:b/>
          <w:bCs/>
          <w:color w:val="334155"/>
          <w:sz w:val="24"/>
          <w:szCs w:val="24"/>
        </w:rPr>
        <w:t xml:space="preserve">9.3 Deduplication</w:t>
      </w:r>
    </w:p>
    <w:p>
      <w:pPr>
        <w:spacing w:after="100" w:before="80"/>
      </w:pPr>
      <w:r>
        <w:rPr>
          <w:rFonts w:ascii="Arial" w:cs="Arial" w:eastAsia="Arial" w:hAnsi="Arial"/>
          <w:color w:val="1E293B"/>
          <w:sz w:val="22"/>
          <w:szCs w:val="22"/>
        </w:rPr>
        <w:t xml:space="preserve">The admin Duplicates panel finds artworks sharing the same artistId and normalised title using a raw SQL self-join. Pairs can be dismissed (stored in DismissedDuplicate) or merged by archiving the duplicate from the artwork detail page. No automated destructive merging of published records.</w:t>
      </w:r>
    </w:p>
    <w:p>
      <w:pPr>
        <w:spacing w:after="0" w:before="12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sz w:val="40"/>
      <w:szCs w:val="40"/>
    </w:rPr>
  </w:style>
  <w:style w:type="paragraph" w:styleId="Heading2">
    <w:name w:val="Heading 2"/>
    <w:basedOn w:val="Normal"/>
    <w:next w:val="Normal"/>
    <w:qFormat/>
    <w:pPr>
      <w:spacing w:after="160" w:before="360"/>
      <w:outlineLvl w:val="1"/>
    </w:pPr>
    <w:rPr>
      <w:rFonts w:ascii="Arial" w:cs="Arial" w:eastAsia="Arial" w:hAnsi="Arial"/>
      <w:b/>
      <w:bCs/>
      <w:sz w:val="30"/>
      <w:szCs w:val="30"/>
    </w:rPr>
  </w:style>
  <w:style w:type="paragraph" w:styleId="Heading3">
    <w:name w:val="Heading 3"/>
    <w:basedOn w:val="Normal"/>
    <w:next w:val="Normal"/>
    <w:qFormat/>
    <w:pPr>
      <w:spacing w:after="100" w:before="24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2026-03-29T15:33:29.943Z</dcterms:created>
  <dcterms:modified xsi:type="dcterms:W3CDTF">2026-03-29T15:33:29.943Z</dcterms:modified>
</cp:coreProperties>
</file>

<file path=docProps/custom.xml><?xml version="1.0" encoding="utf-8"?>
<Properties xmlns="http://schemas.openxmlformats.org/officeDocument/2006/custom-properties" xmlns:vt="http://schemas.openxmlformats.org/officeDocument/2006/docPropsVTypes"/>
</file>