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11827"/>
          <w:sz w:val="52"/>
          <w:szCs w:val="52"/>
        </w:rPr>
        <w:t xml:space="preserve">Testing Strategy</w:t>
      </w:r>
    </w:p>
    <w:p>
      <w:pPr>
        <w:spacing w:after="60"/>
      </w:pPr>
      <w:r>
        <w:rPr>
          <w:rFonts w:ascii="Arial" w:cs="Arial" w:eastAsia="Arial" w:hAnsi="Arial"/>
          <w:color w:val="6B7280"/>
          <w:sz w:val="26"/>
          <w:szCs w:val="26"/>
        </w:rPr>
        <w:t xml:space="preserve">Unit, Integration, Contract &amp; End-to-End Test Coverage</w:t>
      </w:r>
    </w:p>
    <w:p>
      <w:pPr>
        <w:spacing w:after="60"/>
      </w:pPr>
      <w:r>
        <w:rPr>
          <w:rFonts w:ascii="Arial" w:cs="Arial" w:eastAsia="Arial" w:hAnsi="Arial"/>
          <w:color w:val="9CA3AF"/>
          <w:sz w:val="22"/>
          <w:szCs w:val="22"/>
        </w:rPr>
        <w:t xml:space="preserve">Artio Data Pipeline Redesign  |  March 2026</w:t>
      </w:r>
    </w:p>
    <w:p>
      <w:pPr>
        <w:pBdr>
          <w:bottom w:val="single" w:color="1F2937" w:sz="6" w:space="1"/>
        </w:pBdr>
        <w:spacing w:after="240"/>
      </w:pPr>
      <w:r>
        <w:t xml:space="preserve"/>
      </w:r>
    </w:p>
    <w:p>
      <w:pPr>
        <w:pStyle w:val="Heading1"/>
      </w:pPr>
      <w:r>
        <w:rPr>
          <w:b/>
          <w:bCs/>
        </w:rPr>
        <w:t xml:space="preserve">Overview</w:t>
      </w:r>
    </w:p>
    <w:p>
      <w:pPr>
        <w:spacing w:after="120"/>
      </w:pPr>
      <w:r>
        <w:rPr>
          <w:rFonts w:ascii="Arial" w:cs="Arial" w:eastAsia="Arial" w:hAnsi="Arial"/>
          <w:sz w:val="22"/>
          <w:szCs w:val="22"/>
        </w:rPr>
        <w:t xml:space="preserve">The test suite covers both the Artio Next.js application and the standalone Mining Service. Tests are written in TypeScript (Jest) for the Artio app and Python (pytest) for the mining service's ML/Python components. The strategy prioritises correctness of the pipeline stages, the import API contract, and the confidence model over UI test coverage.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2937" w:sz="4"/>
              <w:left w:val="single" w:color="1F2937" w:sz="4"/>
              <w:bottom w:val="none" w:color="FFFFFF" w:sz="0"/>
              <w:right w:val="none" w:color="FFFFFF" w:sz="0"/>
            </w:tcBorders>
            <w:shd w:fill="EFF6FF" w:val="clear"/>
            <w:tcMar>
              <w:top w:type="dxa" w:w="120"/>
              <w:left w:type="dxa" w:w="160"/>
              <w:bottom w:type="dxa" w:w="120"/>
              <w:right w:type="dxa" w:w="160"/>
            </w:tcMar>
          </w:tcPr>
          <w:p>
            <w:pPr>
              <w:spacing w:after="60"/>
            </w:pPr>
            <w:r>
              <w:rPr>
                <w:rFonts w:ascii="Arial" w:cs="Arial" w:eastAsia="Arial" w:hAnsi="Arial"/>
                <w:b/>
                <w:bCs/>
                <w:color w:val="1E3A5F"/>
                <w:sz w:val="20"/>
                <w:szCs w:val="20"/>
              </w:rPr>
              <w:t xml:space="preserve">Testing principles</w:t>
            </w:r>
          </w:p>
          <w:p>
            <w:pPr>
              <w:spacing w:after="60"/>
            </w:pPr>
            <w:r>
              <w:rPr>
                <w:rFonts w:ascii="Arial" w:cs="Arial" w:eastAsia="Arial" w:hAnsi="Arial"/>
                <w:color w:val="1E3A5F"/>
                <w:sz w:val="20"/>
                <w:szCs w:val="20"/>
              </w:rPr>
              <w:t xml:space="preserve">Pipeline stages must be individually testable without external services — all AI and search calls are mockable.</w:t>
            </w:r>
          </w:p>
          <w:p>
            <w:pPr>
              <w:spacing w:after="60"/>
            </w:pPr>
            <w:r>
              <w:rPr>
                <w:rFonts w:ascii="Arial" w:cs="Arial" w:eastAsia="Arial" w:hAnsi="Arial"/>
                <w:color w:val="1E3A5F"/>
                <w:sz w:val="20"/>
                <w:szCs w:val="20"/>
              </w:rPr>
              <w:t xml:space="preserve">The import API contract is tested with consumer-driven contract tests — mining service and Artio app must agree.</w:t>
            </w:r>
          </w:p>
          <w:p>
            <w:pPr>
              <w:spacing w:after="60"/>
            </w:pPr>
            <w:r>
              <w:rPr>
                <w:rFonts w:ascii="Arial" w:cs="Arial" w:eastAsia="Arial" w:hAnsi="Arial"/>
                <w:color w:val="1E3A5F"/>
                <w:sz w:val="20"/>
                <w:szCs w:val="20"/>
              </w:rPr>
              <w:t xml:space="preserve">Model training is tested with fixed seed data to ensure deterministic output.</w:t>
            </w:r>
          </w:p>
          <w:p>
            <w:pPr>
              <w:spacing w:after="60"/>
            </w:pPr>
            <w:r>
              <w:rPr>
                <w:rFonts w:ascii="Arial" w:cs="Arial" w:eastAsia="Arial" w:hAnsi="Arial"/>
                <w:color w:val="1E3A5F"/>
                <w:sz w:val="20"/>
                <w:szCs w:val="20"/>
              </w:rPr>
              <w:t xml:space="preserve">No end-to-end test ever calls a real AI provider — all AI calls are stubbed.</w:t>
            </w:r>
          </w:p>
        </w:tc>
      </w:tr>
    </w:tbl>
    <w:p>
      <w:pPr>
        <w:spacing w:after="80"/>
      </w:pPr>
      <w:r>
        <w:t xml:space="preserve"/>
      </w:r>
    </w:p>
    <w:p>
      <w:pPr>
        <w:pStyle w:val="Heading1"/>
      </w:pPr>
      <w:r>
        <w:rPr>
          <w:b/>
          <w:bCs/>
        </w:rPr>
        <w:t xml:space="preserve">Test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2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Jest + ts-jest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TypeScript unit and integration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Artio app + Mining service (TS)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@testing-library/react</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UI component tests</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Artio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 (Mock Service Worker)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stub server for API route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Artio app</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Supertest</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API route integration tests</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Artio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scoring and training unit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 service (Python)</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pytest-cov</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Coverage reporting for Python components</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Mining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 (pactflow)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Consumer-driven contract tests for import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services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Playwright (testing)</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E2E smoke tests against staging environment</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Artio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testcontainers-node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and Redis integration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 service (TS)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nock</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HTTP request mocking for crawl and search tests</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Mining service</w:t>
            </w:r>
          </w:p>
        </w:tc>
      </w:tr>
    </w:tbl>
    <w:p>
      <w:pPr>
        <w:spacing w:after="80"/>
      </w:pPr>
      <w:r>
        <w:t xml:space="preserve"/>
      </w:r>
    </w:p>
    <w:p>
      <w:pPr>
        <w:pStyle w:val="Heading1"/>
      </w:pPr>
      <w:r>
        <w:rPr>
          <w:b/>
          <w:bCs/>
        </w:rPr>
        <w:t xml:space="preserve">Unit Tests</w:t>
      </w:r>
    </w:p>
    <w:p>
      <w:pPr>
        <w:pStyle w:val="Heading2"/>
      </w:pPr>
      <w:r>
        <w:rPr>
          <w:b/>
          <w:bCs/>
        </w:rPr>
        <w:t xml:space="preserve">Confidence model (Layer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vector completeness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a given event/artist/artwork input, all expected signals are present in the output vector. No signal is undefined.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Signal correctness — positive cases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titleIsSpecific=true for a 40-char title with letters. hasStartAt=true for a valid ISO datetime. sourceIsJsonLd=true when extraction method is json_ld.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correctness — negative cases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titleIsGeneric=true for title='home'. titleEqualsVenue=true when title matches venue name. titleIsNavNoise=true for 'March' or 'Back'.</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Deterministic fallback scoring</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When model store returns null, deterministic score output matches expected points table for a known input vector.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 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80 -&gt; HIGH, score 60 -&gt; MEDIUM, score 30 -&gt; LOW. Threshold boundary: score exactly 75 -&gt; HIGH.</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venueApprovalRate signal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Given 20 decision records (16 approved, 4 rejected), venueApprovalRate = 0.8.</w:t>
            </w:r>
          </w:p>
        </w:tc>
      </w:tr>
    </w:tbl>
    <w:p>
      <w:pPr>
        <w:spacing w:after="80"/>
      </w:pPr>
      <w:r>
        <w:t xml:space="preserve"/>
      </w:r>
    </w:p>
    <w:p>
      <w:pPr>
        <w:pStyle w:val="Heading2"/>
      </w:pPr>
      <w:r>
        <w:rPr>
          <w:b/>
          <w:bCs/>
        </w:rPr>
        <w:t xml:space="preserve">Deduplication (Layer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events with identical venueId, normalised title, date, and location produce identical fingerprints. Order of normalisation steps is verified.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Fingerprint normalisation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'The Spring Show' and 'spring show' produce the same fingerprint. Punctuation stripping: 'Spring Show!' == 'Spring Show'.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Jaccard similarity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token overlap &gt;= 85 marks DUPLICATE immediately without embedding. Title overlap 60 does not.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Cluster primary selection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When a new candidate with higher confidence joins a cluster, it becomes the new primary and the old primary is marked DUPLICATE.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Cross-venue dedup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window is 60 days lookback + 180 days forward. Candidates outside window are not compared.</w:t>
            </w:r>
          </w:p>
        </w:tc>
      </w:tr>
    </w:tbl>
    <w:p>
      <w:pPr>
        <w:spacing w:after="80"/>
      </w:pPr>
      <w:r>
        <w:t xml:space="preserve"/>
      </w:r>
    </w:p>
    <w:p>
      <w:pPr>
        <w:pStyle w:val="Heading2"/>
      </w:pPr>
      <w:r>
        <w:rPr>
          <w:b/>
          <w:bCs/>
        </w:rPr>
        <w:t xml:space="preserve">Pipeline engine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 opens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8 failures in a 20-job window (40%), circuit opens and next job is immediately rejected without processing.</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Circuit breaker half-open probe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After circuit opens, exactly 1 probe job is allowed per 60s. Success closes the circuit.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 — fetch 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Re-running fetch on a pipelineRunId that already has a RawPage record skips the HTTP request and returns the existing record.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Retry backoff</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Fetch stage failure 1 retries after 1s, failure 2 after 4s, failure 3 after 16s. Fourth failure goes to 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TTL expiry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lock with expires_at in the past is treated as available — the next worker acquires it and proceeds.</w:t>
            </w:r>
          </w:p>
        </w:tc>
      </w:tr>
    </w:tbl>
    <w:p>
      <w:pPr>
        <w:spacing w:after="80"/>
      </w:pPr>
      <w:r>
        <w:t xml:space="preserve"/>
      </w:r>
    </w:p>
    <w:p>
      <w:pPr>
        <w:pStyle w:val="Heading2"/>
      </w:pPr>
      <w:r>
        <w:rPr>
          <w:b/>
          <w:bCs/>
        </w:rPr>
        <w:t xml:space="preserve">Discovery (Layer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Thompson sampling selection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two templates with Beta(10,2) and Beta(2,10), the high-alpha template is selected more than 80% of the time over 1,000 samples.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Exploration budget enforcement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When &gt;= 20% of templates have &lt; 5 observations, they collectively receive &gt;= 20% of scheduled slots.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Bandit update — yield success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 job finds 3 new venues, alpha for that template increases by 3.</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Template lifecycle transitions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Template with alpha+beta &gt;= 30 is marked CONVERGED. Template with no yield in 90 days is marked ARCHIVED.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platform detection at discovery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URL with Wix fingerprint in search snippet sets requires_js = true on the new VenueProfile.</w:t>
            </w:r>
          </w:p>
        </w:tc>
      </w:tr>
    </w:tbl>
    <w:p>
      <w:pPr>
        <w:spacing w:after="80"/>
      </w:pPr>
      <w:r>
        <w:t xml:space="preserve"/>
      </w:r>
    </w:p>
    <w:p>
      <w:pPr>
        <w:pStyle w:val="Heading2"/>
      </w:pPr>
      <w:r>
        <w:rPr>
          <w:b/>
          <w:bCs/>
        </w:rPr>
        <w:t xml:space="preserve">Import API (Layer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 deduplication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Importing the same event twice in the same batch returns skipped: 1 on the second occurrence.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Schema validation rejection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 record missing required field startAt returns a structured error in the errors array, not a 400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11th request from the same IP within 1 hour returns 429.</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Bearer token rejection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Request with wrong MINING_SERVICE_SECRET returns 401.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endpoint read-only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endpoint POST does not write any data to the Artio DB — it returns existing decision data only.</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Max batch size enforcement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 batch of 51 events returns 400 with code: BATCH_TOO_LARGE.</w:t>
            </w:r>
          </w:p>
        </w:tc>
      </w:tr>
    </w:tbl>
    <w:p>
      <w:pPr>
        <w:spacing w:after="80"/>
      </w:pPr>
      <w:r>
        <w:t xml:space="preserve"/>
      </w:r>
    </w:p>
    <w:p>
      <w:pPr>
        <w:pStyle w:val="Heading2"/>
      </w:pPr>
      <w:r>
        <w:rPr>
          <w:b/>
          <w:bCs/>
        </w:rPr>
        <w:t xml:space="preserve">Model training (pytest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training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a fixed seed dataset, the trained model coefficients are identical across runs (np.random.seed applied).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Class balancing</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With 80 approved / 20 rejected labels, class_weight='balanced' produces a model that does not trivially predict all-approved.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synthetic dataset with AUC-ROC &lt; 0.80 does not produce a model_versions row.</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Minimum label check</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With 99 labels, training is skipped with the appropriate log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Serialisation round-trip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Serialised model JSON can be deserialised and produces identical scores to the original sklearn model on test inputs.</w:t>
            </w:r>
          </w:p>
        </w:tc>
      </w:tr>
    </w:tbl>
    <w:p>
      <w:pPr>
        <w:spacing w:after="80"/>
      </w:pPr>
      <w:r>
        <w:t xml:space="preserve"/>
      </w:r>
    </w:p>
    <w:p>
      <w:pPr>
        <w:pStyle w:val="Heading1"/>
      </w:pPr>
      <w:r>
        <w:rPr>
          <w:b/>
          <w:bCs/>
        </w:rPr>
        <w:t xml:space="preserve">Integration Tests</w:t>
      </w:r>
    </w:p>
    <w:p>
      <w:pPr>
        <w:pStyle w:val="Heading2"/>
      </w:pPr>
      <w:r>
        <w:rPr>
          <w:b/>
          <w:bCs/>
        </w:rPr>
        <w:t xml:space="preserve">Admin API routes (Supertest)</w:t>
      </w:r>
    </w:p>
    <w:p>
      <w:pPr>
        <w:spacing w:after="120"/>
      </w:pPr>
      <w:r>
        <w:rPr>
          <w:rFonts w:ascii="Arial" w:cs="Arial" w:eastAsia="Arial" w:hAnsi="Arial"/>
          <w:sz w:val="22"/>
          <w:szCs w:val="22"/>
        </w:rPr>
        <w:t xml:space="preserve">Integration tests run against a test Postgres instance (testcontainers) with seed data. NextAuth is mocked to inject a session with a specified role.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Route group</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Key test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/api/admin/moderation/events/:id/approve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Approving a PENDING candidate: creates Artio Event record, updates IngestExtractedEvent status, writes audit log row, returns 200 with updated candidate.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 /api/admin/moderation/events/bulk-reject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Moderator role: 403. Operator role: 200. Returns succeeded/failed shape. Writes one audit log row per rejection.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/api/admin/config/pipeline/:version/activate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Viewer: 403. Admin: previous ACTIVE version becomes ARCHIVED, new version becomes ACTIVE. Pipeline workers resolve new config on next job.</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 /api/admin/system/users/invite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creates invite: admin_users row created with status=PENDING. admin_invites row created. Email sent (stubbed). Non-admin: 403.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/api/admin/discovery/coverage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required metric fields for each region. Correctly computes goal progress percentage.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 /api/pipeline/import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With valid MINING_SERVICE_SECRET: creates IngestExtractedEvent rows, returns importBatchId. With wrong secret: 401.</w:t>
            </w:r>
          </w:p>
        </w:tc>
      </w:tr>
    </w:tbl>
    <w:p>
      <w:pPr>
        <w:spacing w:after="80"/>
      </w:pPr>
      <w:r>
        <w:t xml:space="preserve"/>
      </w:r>
    </w:p>
    <w:p>
      <w:pPr>
        <w:pStyle w:val="Heading2"/>
      </w:pPr>
      <w:r>
        <w:rPr>
          <w:b/>
          <w:bCs/>
        </w:rPr>
        <w:t xml:space="preserve">Pipeline stage integration (testcontainers)</w:t>
      </w:r>
    </w:p>
    <w:p>
      <w:pPr>
        <w:spacing w:after="120"/>
      </w:pPr>
      <w:r>
        <w:rPr>
          <w:rFonts w:ascii="Arial" w:cs="Arial" w:eastAsia="Arial" w:hAnsi="Arial"/>
          <w:sz w:val="22"/>
          <w:szCs w:val="22"/>
        </w:rPr>
        <w:t xml:space="preserve">Each stage is tested with a real Postgres + Redis instance to verify queue handoff and DB writes:</w:t>
      </w:r>
    </w:p>
    <w:p>
      <w:pPr>
        <w:pStyle w:val="ListParagraph"/>
        <w:numPr>
          <w:ilvl w:val="0"/>
          <w:numId w:val="2"/>
        </w:numPr>
        <w:spacing w:after="80"/>
      </w:pPr>
      <w:r>
        <w:rPr>
          <w:rFonts w:ascii="Arial" w:cs="Arial" w:eastAsia="Arial" w:hAnsi="Arial"/>
          <w:sz w:val="22"/>
          <w:szCs w:val="22"/>
        </w:rPr>
        <w:t xml:space="preserve">Fetch stage: Given a venue URL, mock HTTP server returns HTML. Verify RawPage created, pipeline:extract job enqueued with correct pipelineRunId.</w:t>
      </w:r>
    </w:p>
    <w:p>
      <w:pPr>
        <w:pStyle w:val="ListParagraph"/>
        <w:numPr>
          <w:ilvl w:val="0"/>
          <w:numId w:val="2"/>
        </w:numPr>
        <w:spacing w:after="80"/>
      </w:pPr>
      <w:r>
        <w:rPr>
          <w:rFonts w:ascii="Arial" w:cs="Arial" w:eastAsia="Arial" w:hAnsi="Arial"/>
          <w:sz w:val="22"/>
          <w:szCs w:val="22"/>
        </w:rPr>
        <w:t xml:space="preserve">Extract stage: Given a RawPage with fixture HTML, verify ExtractionResult created with correct event_count. Verify token_usage recorded.</w:t>
      </w:r>
    </w:p>
    <w:p>
      <w:pPr>
        <w:pStyle w:val="ListParagraph"/>
        <w:numPr>
          <w:ilvl w:val="0"/>
          <w:numId w:val="2"/>
        </w:numPr>
        <w:spacing w:after="80"/>
      </w:pPr>
      <w:r>
        <w:rPr>
          <w:rFonts w:ascii="Arial" w:cs="Arial" w:eastAsia="Arial" w:hAnsi="Arial"/>
          <w:sz w:val="22"/>
          <w:szCs w:val="22"/>
        </w:rPr>
        <w:t xml:space="preserve">Score stage: Given a fixture ExtractionResult, verify ConfidenceHistory created with correct signal_vector and band assignment.</w:t>
      </w:r>
    </w:p>
    <w:p>
      <w:pPr>
        <w:pStyle w:val="ListParagraph"/>
        <w:numPr>
          <w:ilvl w:val="0"/>
          <w:numId w:val="2"/>
        </w:numPr>
        <w:spacing w:after="80"/>
      </w:pPr>
      <w:r>
        <w:rPr>
          <w:rFonts w:ascii="Arial" w:cs="Arial" w:eastAsia="Arial" w:hAnsi="Arial"/>
          <w:sz w:val="22"/>
          <w:szCs w:val="22"/>
        </w:rPr>
        <w:t xml:space="preserve">Export stage: Given mature CandidateRecord, mock Artio import endpoint, verify ExportBatch created with correct request_payload and response recorded.</w:t>
      </w:r>
    </w:p>
    <w:p>
      <w:pPr>
        <w:spacing w:after="80"/>
      </w:pPr>
      <w:r>
        <w:t xml:space="preserve"/>
      </w:r>
    </w:p>
    <w:p>
      <w:pPr>
        <w:pStyle w:val="Heading1"/>
      </w:pPr>
      <w:r>
        <w:rPr>
          <w:b/>
          <w:bCs/>
        </w:rPr>
        <w:t xml:space="preserve">Contract Tests (Pact)</w:t>
      </w:r>
    </w:p>
    <w:p>
      <w:pPr>
        <w:spacing w:after="120"/>
      </w:pPr>
      <w:r>
        <w:rPr>
          <w:rFonts w:ascii="Arial" w:cs="Arial" w:eastAsia="Arial" w:hAnsi="Arial"/>
          <w:sz w:val="22"/>
          <w:szCs w:val="22"/>
        </w:rPr>
        <w:t xml:space="preserve">Consumer-driven contract tests define the exact request/response schema expected by the Mining Service (consumer) from the Artio Import API (provider). Pact tests run in CI for both services.</w:t>
      </w:r>
    </w:p>
    <w:p>
      <w:pPr>
        <w:spacing w:after="80"/>
      </w:pPr>
      <w:r>
        <w:t xml:space="preserve"/>
      </w:r>
    </w:p>
    <w:p>
      <w:pPr>
        <w:pStyle w:val="Heading2"/>
      </w:pPr>
      <w:r>
        <w:rPr>
          <w:b/>
          <w:bCs/>
        </w:rPr>
        <w:t xml:space="preserve">Mining service consumer contract</w:t>
      </w:r>
    </w:p>
    <w:p>
      <w:pPr>
        <w:shd w:fill="F3F4F6" w:val="clear"/>
        <w:spacing w:after="80" w:before="80"/>
      </w:pPr>
      <w:r>
        <w:rPr>
          <w:rFonts w:ascii="Courier New" w:cs="Courier New" w:eastAsia="Courier New" w:hAnsi="Courier New"/>
          <w:color w:val="1F2937"/>
          <w:sz w:val="18"/>
          <w:szCs w:val="18"/>
        </w:rPr>
        <w:t xml:space="preserve">// pact/import-api.pact.ts</w:t>
      </w:r>
    </w:p>
    <w:p>
      <w:pPr>
        <w:shd w:fill="F3F4F6" w:val="clear"/>
        <w:spacing w:after="80" w:before="80"/>
      </w:pPr>
      <w:r>
        <w:rPr>
          <w:rFonts w:ascii="Courier New" w:cs="Courier New" w:eastAsia="Courier New" w:hAnsi="Courier New"/>
          <w:color w:val="1F2937"/>
          <w:sz w:val="18"/>
          <w:szCs w:val="18"/>
        </w:rPr>
        <w:t xml:space="preserve">describe('Import API', () =&gt; {</w:t>
      </w:r>
    </w:p>
    <w:p>
      <w:pPr>
        <w:shd w:fill="F3F4F6" w:val="clear"/>
        <w:spacing w:after="80" w:before="80"/>
      </w:pPr>
      <w:r>
        <w:rPr>
          <w:rFonts w:ascii="Courier New" w:cs="Courier New" w:eastAsia="Courier New" w:hAnsi="Courier New"/>
          <w:color w:val="1F2937"/>
          <w:sz w:val="18"/>
          <w:szCs w:val="18"/>
        </w:rPr>
        <w:t xml:space="preserve">  it('accepts a valid batch import', async () =&gt; {</w:t>
      </w:r>
    </w:p>
    <w:p>
      <w:pPr>
        <w:shd w:fill="F3F4F6" w:val="clear"/>
        <w:spacing w:after="80" w:before="80"/>
      </w:pPr>
      <w:r>
        <w:rPr>
          <w:rFonts w:ascii="Courier New" w:cs="Courier New" w:eastAsia="Courier New" w:hAnsi="Courier New"/>
          <w:color w:val="1F2937"/>
          <w:sz w:val="18"/>
          <w:szCs w:val="18"/>
        </w:rPr>
        <w:t xml:space="preserve">    await provider.addInteraction({</w:t>
      </w:r>
    </w:p>
    <w:p>
      <w:pPr>
        <w:shd w:fill="F3F4F6" w:val="clear"/>
        <w:spacing w:after="80" w:before="80"/>
      </w:pPr>
      <w:r>
        <w:rPr>
          <w:rFonts w:ascii="Courier New" w:cs="Courier New" w:eastAsia="Courier New" w:hAnsi="Courier New"/>
          <w:color w:val="1F2937"/>
          <w:sz w:val="18"/>
          <w:szCs w:val="18"/>
        </w:rPr>
        <w:t xml:space="preserve">      state: 'MINING_SERVICE_SECRET is valid',</w:t>
      </w:r>
    </w:p>
    <w:p>
      <w:pPr>
        <w:shd w:fill="F3F4F6" w:val="clear"/>
        <w:spacing w:after="80" w:before="80"/>
      </w:pPr>
      <w:r>
        <w:rPr>
          <w:rFonts w:ascii="Courier New" w:cs="Courier New" w:eastAsia="Courier New" w:hAnsi="Courier New"/>
          <w:color w:val="1F2937"/>
          <w:sz w:val="18"/>
          <w:szCs w:val="18"/>
        </w:rPr>
        <w:t xml:space="preserve">      uponReceiving: 'a valid batch import request',</w:t>
      </w:r>
    </w:p>
    <w:p>
      <w:pPr>
        <w:shd w:fill="F3F4F6" w:val="clear"/>
        <w:spacing w:after="80" w:before="80"/>
      </w:pPr>
      <w:r>
        <w:rPr>
          <w:rFonts w:ascii="Courier New" w:cs="Courier New" w:eastAsia="Courier New" w:hAnsi="Courier New"/>
          <w:color w:val="1F2937"/>
          <w:sz w:val="18"/>
          <w:szCs w:val="18"/>
        </w:rPr>
        <w:t xml:space="preserve">      withRequest: {</w:t>
      </w:r>
    </w:p>
    <w:p>
      <w:pPr>
        <w:shd w:fill="F3F4F6" w:val="clear"/>
        <w:spacing w:after="80" w:before="80"/>
      </w:pPr>
      <w:r>
        <w:rPr>
          <w:rFonts w:ascii="Courier New" w:cs="Courier New" w:eastAsia="Courier New" w:hAnsi="Courier New"/>
          <w:color w:val="1F2937"/>
          <w:sz w:val="18"/>
          <w:szCs w:val="18"/>
        </w:rPr>
        <w:t xml:space="preserve">        method: 'POST',</w:t>
      </w:r>
    </w:p>
    <w:p>
      <w:pPr>
        <w:shd w:fill="F3F4F6" w:val="clear"/>
        <w:spacing w:after="80" w:before="80"/>
      </w:pPr>
      <w:r>
        <w:rPr>
          <w:rFonts w:ascii="Courier New" w:cs="Courier New" w:eastAsia="Courier New" w:hAnsi="Courier New"/>
          <w:color w:val="1F2937"/>
          <w:sz w:val="18"/>
          <w:szCs w:val="18"/>
        </w:rPr>
        <w:t xml:space="preserve">        path: '/api/pipeline/import',</w:t>
      </w:r>
    </w:p>
    <w:p>
      <w:pPr>
        <w:shd w:fill="F3F4F6" w:val="clear"/>
        <w:spacing w:after="80" w:before="80"/>
      </w:pPr>
      <w:r>
        <w:rPr>
          <w:rFonts w:ascii="Courier New" w:cs="Courier New" w:eastAsia="Courier New" w:hAnsi="Courier New"/>
          <w:color w:val="1F2937"/>
          <w:sz w:val="18"/>
          <w:szCs w:val="18"/>
        </w:rPr>
        <w:t xml:space="preserve">        headers: { Authorization: 'Bearer test-secret' },</w:t>
      </w:r>
    </w:p>
    <w:p>
      <w:pPr>
        <w:shd w:fill="F3F4F6" w:val="clear"/>
        <w:spacing w:after="80" w:before="80"/>
      </w:pPr>
      <w:r>
        <w:rPr>
          <w:rFonts w:ascii="Courier New" w:cs="Courier New" w:eastAsia="Courier New" w:hAnsi="Courier New"/>
          <w:color w:val="1F2937"/>
          <w:sz w:val="18"/>
          <w:szCs w:val="18"/>
        </w:rPr>
        <w:t xml:space="preserve">        body: {</w:t>
      </w:r>
    </w:p>
    <w:p>
      <w:pPr>
        <w:shd w:fill="F3F4F6" w:val="clear"/>
        <w:spacing w:after="80" w:before="80"/>
      </w:pPr>
      <w:r>
        <w:rPr>
          <w:rFonts w:ascii="Courier New" w:cs="Courier New" w:eastAsia="Courier New" w:hAnsi="Courier New"/>
          <w:color w:val="1F2937"/>
          <w:sz w:val="18"/>
          <w:szCs w:val="18"/>
        </w:rPr>
        <w:t xml:space="preserve">          source: 'mining-service-v1', region: 'london',</w:t>
      </w:r>
    </w:p>
    <w:p>
      <w:pPr>
        <w:shd w:fill="F3F4F6" w:val="clear"/>
        <w:spacing w:after="80" w:before="80"/>
      </w:pPr>
      <w:r>
        <w:rPr>
          <w:rFonts w:ascii="Courier New" w:cs="Courier New" w:eastAsia="Courier New" w:hAnsi="Courier New"/>
          <w:color w:val="1F2937"/>
          <w:sz w:val="18"/>
          <w:szCs w:val="18"/>
        </w:rPr>
        <w:t xml:space="preserve">          events: [ like({ venueUrl: string, title: string,</w:t>
      </w:r>
    </w:p>
    <w:p>
      <w:pPr>
        <w:shd w:fill="F3F4F6" w:val="clear"/>
        <w:spacing w:after="80" w:before="80"/>
      </w:pPr>
      <w:r>
        <w:rPr>
          <w:rFonts w:ascii="Courier New" w:cs="Courier New" w:eastAsia="Courier New" w:hAnsi="Courier New"/>
          <w:color w:val="1F2937"/>
          <w:sz w:val="18"/>
          <w:szCs w:val="18"/>
        </w:rPr>
        <w:t xml:space="preserve">            startAt: string, timezone: string,</w:t>
      </w:r>
    </w:p>
    <w:p>
      <w:pPr>
        <w:shd w:fill="F3F4F6" w:val="clear"/>
        <w:spacing w:after="80" w:before="80"/>
      </w:pPr>
      <w:r>
        <w:rPr>
          <w:rFonts w:ascii="Courier New" w:cs="Courier New" w:eastAsia="Courier New" w:hAnsi="Courier New"/>
          <w:color w:val="1F2937"/>
          <w:sz w:val="18"/>
          <w:szCs w:val="18"/>
        </w:rPr>
        <w:t xml:space="preserve">            miningConfidenceScore: integer(), observationCount: integer()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willRespondWith: {</w:t>
      </w:r>
    </w:p>
    <w:p>
      <w:pPr>
        <w:shd w:fill="F3F4F6" w:val="clear"/>
        <w:spacing w:after="80" w:before="80"/>
      </w:pPr>
      <w:r>
        <w:rPr>
          <w:rFonts w:ascii="Courier New" w:cs="Courier New" w:eastAsia="Courier New" w:hAnsi="Courier New"/>
          <w:color w:val="1F2937"/>
          <w:sz w:val="18"/>
          <w:szCs w:val="18"/>
        </w:rPr>
        <w:t xml:space="preserve">        status: 200,</w:t>
      </w:r>
    </w:p>
    <w:p>
      <w:pPr>
        <w:shd w:fill="F3F4F6" w:val="clear"/>
        <w:spacing w:after="80" w:before="80"/>
      </w:pPr>
      <w:r>
        <w:rPr>
          <w:rFonts w:ascii="Courier New" w:cs="Courier New" w:eastAsia="Courier New" w:hAnsi="Courier New"/>
          <w:color w:val="1F2937"/>
          <w:sz w:val="18"/>
          <w:szCs w:val="18"/>
        </w:rPr>
        <w:t xml:space="preserve">        body: { imported: integer(), skipped: integer(),</w:t>
      </w:r>
    </w:p>
    <w:p>
      <w:pPr>
        <w:shd w:fill="F3F4F6" w:val="clear"/>
        <w:spacing w:after="80" w:before="80"/>
      </w:pPr>
      <w:r>
        <w:rPr>
          <w:rFonts w:ascii="Courier New" w:cs="Courier New" w:eastAsia="Courier New" w:hAnsi="Courier New"/>
          <w:color w:val="1F2937"/>
          <w:sz w:val="18"/>
          <w:szCs w:val="18"/>
        </w:rPr>
        <w:t xml:space="preserve">          errors: eachLike(string()), importBatchId: uuid()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Admin UI Component Tests</w:t>
      </w:r>
    </w:p>
    <w:p>
      <w:pPr>
        <w:spacing w:after="120"/>
      </w:pPr>
      <w:r>
        <w:rPr>
          <w:rFonts w:ascii="Arial" w:cs="Arial" w:eastAsia="Arial" w:hAnsi="Arial"/>
          <w:sz w:val="22"/>
          <w:szCs w:val="22"/>
        </w:rPr>
        <w:t xml:space="preserve">React component tests use @testing-library/react with msw for API stubbing. Focus on critical moderation flows:</w:t>
      </w:r>
    </w:p>
    <w:p>
      <w:pPr>
        <w:pStyle w:val="ListParagraph"/>
        <w:numPr>
          <w:ilvl w:val="0"/>
          <w:numId w:val="2"/>
        </w:numPr>
        <w:spacing w:after="80"/>
      </w:pPr>
      <w:r>
        <w:rPr>
          <w:rFonts w:ascii="Arial" w:cs="Arial" w:eastAsia="Arial" w:hAnsi="Arial"/>
          <w:sz w:val="22"/>
          <w:szCs w:val="22"/>
        </w:rPr>
        <w:t xml:space="preserve">Candidate card renders mining source badge when source='mining-service-v1'.</w:t>
      </w:r>
    </w:p>
    <w:p>
      <w:pPr>
        <w:pStyle w:val="ListParagraph"/>
        <w:numPr>
          <w:ilvl w:val="0"/>
          <w:numId w:val="2"/>
        </w:numPr>
        <w:spacing w:after="80"/>
      </w:pPr>
      <w:r>
        <w:rPr>
          <w:rFonts w:ascii="Arial" w:cs="Arial" w:eastAsia="Arial" w:hAnsi="Arial"/>
          <w:sz w:val="22"/>
          <w:szCs w:val="22"/>
        </w:rPr>
        <w:t xml:space="preserve">Approve button calls POST /api/admin/moderation/events/:id/approve and shows optimistic update immediately.</w:t>
      </w:r>
    </w:p>
    <w:p>
      <w:pPr>
        <w:pStyle w:val="ListParagraph"/>
        <w:numPr>
          <w:ilvl w:val="0"/>
          <w:numId w:val="2"/>
        </w:numPr>
        <w:spacing w:after="80"/>
      </w:pPr>
      <w:r>
        <w:rPr>
          <w:rFonts w:ascii="Arial" w:cs="Arial" w:eastAsia="Arial" w:hAnsi="Arial"/>
          <w:sz w:val="22"/>
          <w:szCs w:val="22"/>
        </w:rPr>
        <w:t xml:space="preserve">Bulk select checkbox selects all visible candidates; bulk approve calls correct endpoint.</w:t>
      </w:r>
    </w:p>
    <w:p>
      <w:pPr>
        <w:pStyle w:val="ListParagraph"/>
        <w:numPr>
          <w:ilvl w:val="0"/>
          <w:numId w:val="2"/>
        </w:numPr>
        <w:spacing w:after="80"/>
      </w:pPr>
      <w:r>
        <w:rPr>
          <w:rFonts w:ascii="Arial" w:cs="Arial" w:eastAsia="Arial" w:hAnsi="Arial"/>
          <w:sz w:val="22"/>
          <w:szCs w:val="22"/>
        </w:rPr>
        <w:t xml:space="preserve">Config diff view highlights changed fields in amber and unchanged sections collapsed by default.</w:t>
      </w:r>
    </w:p>
    <w:p>
      <w:pPr>
        <w:pStyle w:val="ListParagraph"/>
        <w:numPr>
          <w:ilvl w:val="0"/>
          <w:numId w:val="2"/>
        </w:numPr>
        <w:spacing w:after="80"/>
      </w:pPr>
      <w:r>
        <w:rPr>
          <w:rFonts w:ascii="Arial" w:cs="Arial" w:eastAsia="Arial" w:hAnsi="Arial"/>
          <w:sz w:val="22"/>
          <w:szCs w:val="22"/>
        </w:rPr>
        <w:t xml:space="preserve">Permission-gated controls: Approve button not rendered for Viewer role. Config activate not rendered for Operator role.</w:t>
      </w:r>
    </w:p>
    <w:p>
      <w:pPr>
        <w:spacing w:after="80"/>
      </w:pPr>
      <w:r>
        <w:t xml:space="preserve"/>
      </w:r>
    </w:p>
    <w:p>
      <w:pPr>
        <w:pStyle w:val="Heading1"/>
      </w:pPr>
      <w:r>
        <w:rPr>
          <w:b/>
          <w:bCs/>
        </w:rPr>
        <w:t xml:space="preserve">End-to-End Tests (Playwright — Staging)</w:t>
      </w:r>
    </w:p>
    <w:p>
      <w:pPr>
        <w:spacing w:after="120"/>
      </w:pPr>
      <w:r>
        <w:rPr>
          <w:rFonts w:ascii="Arial" w:cs="Arial" w:eastAsia="Arial" w:hAnsi="Arial"/>
          <w:sz w:val="22"/>
          <w:szCs w:val="22"/>
        </w:rPr>
        <w:t xml:space="preserve">E2E tests run against the staging environment after each deployment. They use a dedicated test admin user account (role: admin). All AI calls in staging are mocked via the systemPromptOverride config to return fixture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moderation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Navigate to Candidate Queue. 2. Filter by region=london, band=HIGH. 3. Click first candidate. 4. Click Approve. 5. Verify candidate status changes to APPROVED in queue. 6. Verify audit log entry created.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Config activation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 Navigate to Config &gt; Pipeline. 2. Create new draft with changed highBand threshold. 3. Activate draft. 4. Verify previous version shows ARCHIVED status. 5. Verify new version shows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 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Navigate to Discovery &gt; Templates. 2. Create new template. 3. Verify template appears with ACTIVE status and Beta(1,1) prior.</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User invite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 Navigate to System &gt; Users. 2. Invite new user with role=moderator. 3. Verify user appears in list with status=PENDING. 4. Verify invite email sent (stub log checked).</w:t>
            </w:r>
          </w:p>
        </w:tc>
      </w:tr>
    </w:tbl>
    <w:p>
      <w:pPr>
        <w:spacing w:after="80"/>
      </w:pPr>
      <w:r>
        <w:t xml:space="preserve"/>
      </w:r>
    </w:p>
    <w:p>
      <w:pPr>
        <w:pStyle w:val="Heading1"/>
      </w:pPr>
      <w:r>
        <w:rPr>
          <w:b/>
          <w:bCs/>
        </w:rPr>
        <w:t xml:space="preserve">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4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model signal computation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line coverage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Jest --coverage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Deduplication fingerprint logic</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100% line coverage</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Jest --coverage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API endpoint handlers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 line coverage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Jest --coverage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API route handlers</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&gt;= 80% line coverage</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Jest --coverage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85% line coverage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pytest-cov</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Admin UI components (critical paths)</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&gt;= 70% line coverage</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@testing-library/react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 critical flows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scenarios in this document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2026-03-29T19:13:39.610Z</dcterms:created>
  <dcterms:modified xsi:type="dcterms:W3CDTF">2026-03-29T19:13:39.610Z</dcterms:modified>
</cp:coreProperties>
</file>

<file path=docProps/custom.xml><?xml version="1.0" encoding="utf-8"?>
<Properties xmlns="http://schemas.openxmlformats.org/officeDocument/2006/custom-properties" xmlns:vt="http://schemas.openxmlformats.org/officeDocument/2006/docPropsVTypes"/>
</file>