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EXPENDITURE STATEMENT</w:t>
      </w:r>
    </w:p>
    <w:p>
      <w:r>
        <w:t>Period: Quarter 3, 2022/2023</w:t>
      </w:r>
    </w:p>
    <w:p>
      <w:r>
        <w:t>Total income: Le 77,379</w:t>
      </w:r>
    </w:p>
    <w:p>
      <w:r>
        <w:t>Salaries: Le 25,246</w:t>
      </w:r>
    </w:p>
    <w:p>
      <w:r>
        <w:t>Utilities and maintenance: Le 4,108</w:t>
      </w:r>
    </w:p>
    <w:p>
      <w:r>
        <w:t>Budget variance: Le 2,500</w:t>
      </w:r>
    </w:p>
    <w:p>
      <w:r>
        <w:t>Prepared by the Finance Office. Account reconciled with the bank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