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b/>
                <w:sz w:val="26"/>
              </w:rPr>
              <w:t>Учебный центр</w:t>
              <w:br/>
            </w:r>
            <w:r>
              <w:rPr>
                <w:b/>
                <w:sz w:val="26"/>
              </w:rPr>
              <w:t>«ГорГазНефть»</w:t>
              <w:br/>
            </w:r>
            <w:r>
              <w:rPr>
                <w:b w:val="0"/>
                <w:sz w:val="22"/>
              </w:rPr>
              <w:t>г. Сибай, Республика Башкортостан</w:t>
              <w:br/>
            </w:r>
            <w:r>
              <w:rPr>
                <w:b w:val="0"/>
                <w:sz w:val="22"/>
              </w:rPr>
              <w:t>адрес: ______________________________</w:t>
              <w:br/>
            </w:r>
            <w:r>
              <w:rPr>
                <w:b w:val="0"/>
                <w:sz w:val="22"/>
              </w:rPr>
              <w:t>тел.: ____________  e-mail: ____________</w:t>
              <w:br/>
              <w:br/>
            </w:r>
            <w:r>
              <w:rPr>
                <w:b w:val="0"/>
                <w:sz w:val="22"/>
              </w:rPr>
              <w:t>«___» ____________ 2026 г.  № ______</w:t>
              <w:br/>
            </w:r>
            <w:r>
              <w:rPr>
                <w:b w:val="0"/>
                <w:sz w:val="22"/>
              </w:rPr>
              <w:t>на № __________ от ______________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26"/>
              </w:rPr>
              <w:t>Командиру</w:t>
              <w:br/>
            </w:r>
            <w:r>
              <w:rPr>
                <w:b w:val="0"/>
                <w:sz w:val="26"/>
              </w:rPr>
              <w:t>______________________________</w:t>
              <w:br/>
            </w:r>
            <w:r>
              <w:rPr>
                <w:b w:val="0"/>
                <w:i/>
                <w:sz w:val="20"/>
              </w:rPr>
              <w:t>(наименование подразделения ВГСЧ)</w:t>
              <w:br/>
            </w:r>
            <w:r>
              <w:rPr>
                <w:b w:val="0"/>
                <w:sz w:val="26"/>
              </w:rPr>
              <w:br/>
            </w:r>
            <w:r>
              <w:rPr>
                <w:b w:val="0"/>
                <w:sz w:val="26"/>
              </w:rPr>
              <w:t>______________________________</w:t>
              <w:br/>
            </w:r>
            <w:r>
              <w:rPr>
                <w:b w:val="0"/>
                <w:i/>
                <w:sz w:val="20"/>
              </w:rPr>
              <w:t>(звание, Ф.И.О.)</w:t>
            </w:r>
          </w:p>
        </w:tc>
      </w:tr>
    </w:tbl>
    <w:p>
      <w:pPr>
        <w:spacing w:after="120" w:before="0"/>
        <w:ind w:firstLine="709"/>
        <w:jc w:val="both"/>
      </w:pPr>
    </w:p>
    <w:p>
      <w:pPr>
        <w:spacing w:after="240" w:before="0"/>
        <w:jc w:val="left"/>
      </w:pPr>
      <w:r>
        <w:rPr>
          <w:b w:val="0"/>
          <w:i w:val="0"/>
          <w:sz w:val="26"/>
        </w:rPr>
        <w:t>О рассмотрении программного комплекса «САУ» и предложении о совместной работе</w:t>
      </w:r>
    </w:p>
    <w:p>
      <w:pPr>
        <w:spacing w:after="200" w:before="0"/>
        <w:jc w:val="center"/>
      </w:pPr>
      <w:r>
        <w:rPr>
          <w:b w:val="0"/>
          <w:i w:val="0"/>
        </w:rPr>
        <w:t>Уважаемый ______________________________!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Учебный центр «ГорГазНефть» (г. Сибай) выражает уважение личному составу военизированной горноспасательной части и предлагает рассмотреть программный комплекс «САУ — Схема аварийного участка» с модулем расчётов группы инженерного обеспечения (ГИО), а также организовать совместную работу по его апробации, доработке и внедрению в подготовку горноспасателей.</w:t>
      </w:r>
    </w:p>
    <w:p>
      <w:pPr>
        <w:spacing w:after="120" w:before="0"/>
        <w:ind w:firstLine="709"/>
        <w:jc w:val="both"/>
      </w:pPr>
      <w:r>
        <w:rPr>
          <w:b w:val="0"/>
          <w:i w:val="0"/>
        </w:rPr>
        <w:t>Цель разработки — сократить время на оперативные расчёты и оформление документов при ведении горноспасательных работ, исключить арифметические ошибки и обеспечить своевременную передачу результатов расчётов от командира отделения на подземную горноспасательную базу и командный пункт.</w:t>
      </w:r>
    </w:p>
    <w:p>
      <w:pPr>
        <w:spacing w:after="80" w:before="120"/>
        <w:jc w:val="left"/>
      </w:pPr>
      <w:r>
        <w:rPr>
          <w:b/>
          <w:i w:val="0"/>
        </w:rPr>
        <w:t>1. Состав программного комплекса</w:t>
      </w:r>
    </w:p>
    <w:p>
      <w:pPr>
        <w:ind w:left="709" w:hanging="283"/>
        <w:jc w:val="both"/>
      </w:pPr>
      <w:r>
        <w:t xml:space="preserve">–  </w:t>
      </w:r>
      <w:r>
        <w:rPr>
          <w:b/>
        </w:rPr>
        <w:t>Редактор схем аварийного участка</w:t>
      </w:r>
      <w:r>
        <w:t xml:space="preserve"> — построение схемы аварийного участка с условными обозначениями поверх плана горных выработок, формирование документа формата А4, печать, PDF, выгрузка в Excel.</w:t>
      </w:r>
    </w:p>
    <w:p>
      <w:pPr>
        <w:ind w:left="709" w:hanging="283"/>
        <w:jc w:val="both"/>
      </w:pPr>
      <w:r>
        <w:t xml:space="preserve">–  </w:t>
      </w:r>
      <w:r>
        <w:rPr>
          <w:b/>
        </w:rPr>
        <w:t>Расчёт «ЗВТ»</w:t>
      </w:r>
      <w:r>
        <w:t xml:space="preserve"> — расчёт допустимого времени пребывания отделения в зоне высоких температур, времени поворота назад и выхода (Приказ Ростехнадзора от 11.12.2020 № 520, Приложение 6), с учётом режима (передвижение / работа на месте) и спасения людей.</w:t>
      </w:r>
    </w:p>
    <w:p>
      <w:pPr>
        <w:ind w:left="709" w:hanging="283"/>
        <w:jc w:val="both"/>
      </w:pPr>
      <w:r>
        <w:t xml:space="preserve">–  </w:t>
      </w:r>
      <w:r>
        <w:rPr>
          <w:b/>
        </w:rPr>
        <w:t>Расчёт «Треугольник»</w:t>
      </w:r>
      <w:r>
        <w:t xml:space="preserve"> — оценка взрываемости рудничной атмосферы для смеси CH₄ + CO + H₂ методом треугольников взрываемости (Боевой устав ВГСЧ, Приложение 11) с построением графика, а также оценка по пределам взрываемости отдельного горючего газа.</w:t>
      </w:r>
    </w:p>
    <w:p>
      <w:pPr>
        <w:ind w:left="709" w:hanging="283"/>
        <w:jc w:val="both"/>
      </w:pPr>
      <w:r>
        <w:t xml:space="preserve">–  </w:t>
      </w:r>
      <w:r>
        <w:rPr>
          <w:b/>
        </w:rPr>
        <w:t>Отчётные документы</w:t>
      </w:r>
      <w:r>
        <w:t xml:space="preserve"> — по каждому расчёту формируется документ Word и печатная форма с исходными данными, ходом расчёта, графиком, заключением и местом для подписи.</w:t>
      </w:r>
    </w:p>
    <w:p>
      <w:pPr>
        <w:spacing w:after="80" w:before="160"/>
        <w:jc w:val="left"/>
      </w:pPr>
      <w:r>
        <w:rPr>
          <w:b/>
          <w:i w:val="0"/>
        </w:rPr>
        <w:t>2. Работа на смартфонах и компьютере. Комплект из трёх устройств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Программа работает как на компьютере (командный пункт, учебный класс), так и на смартфоне. На смартфон она устанавливается как приложение — ярлыком на рабочий стол, без магазина приложений. Все расчёты выполняются на самом устройстве и не зависят от наличия связи: при её отсутствии командир отделения всё равно получает результат.</w:t>
      </w:r>
    </w:p>
    <w:p>
      <w:pPr>
        <w:spacing w:after="40" w:before="0"/>
        <w:ind w:firstLine="709"/>
        <w:jc w:val="both"/>
      </w:pPr>
      <w:r>
        <w:rPr>
          <w:b w:val="0"/>
          <w:i w:val="0"/>
        </w:rPr>
        <w:t>Предлагаемый комплект — три устройства на отделение: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154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24"/>
              </w:rPr>
              <w:t>Устройство</w:t>
            </w:r>
          </w:p>
        </w:tc>
        <w:tc>
          <w:tcPr>
            <w:tcW w:type="dxa" w:w="2154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24"/>
              </w:rPr>
              <w:t>Место</w:t>
            </w:r>
          </w:p>
        </w:tc>
        <w:tc>
          <w:tcPr>
            <w:tcW w:type="dxa" w:w="5046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24"/>
              </w:rPr>
              <w:t>Права и функции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sz w:val="24"/>
              </w:rPr>
              <w:t>1. Командир отделения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sz w:val="24"/>
              </w:rPr>
              <w:t>Аварийный участок</w:t>
            </w:r>
          </w:p>
        </w:tc>
        <w:tc>
          <w:tcPr>
            <w:tcW w:type="dxa" w:w="5046"/>
          </w:tcPr>
          <w:p>
            <w:pPr>
              <w:jc w:val="left"/>
            </w:pPr>
            <w:r/>
            <w:r>
              <w:rPr>
                <w:sz w:val="24"/>
              </w:rPr>
              <w:t>Создаёт «Операцию» и получает короткий код (например, 4827). Выполняет расчёты и передаёт их кнопкой «Передать». Полный доступ.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sz w:val="24"/>
              </w:rPr>
              <w:t>2. Подземная база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sz w:val="24"/>
              </w:rPr>
              <w:t>Горная выработка на свежей струе</w:t>
            </w:r>
          </w:p>
        </w:tc>
        <w:tc>
          <w:tcPr>
            <w:tcW w:type="dxa" w:w="5046"/>
          </w:tcPr>
          <w:p>
            <w:pPr>
              <w:jc w:val="left"/>
            </w:pPr>
            <w:r/>
            <w:r>
              <w:rPr>
                <w:sz w:val="24"/>
              </w:rPr>
              <w:t>Подключается по коду операции. Получает расчёты командира, журнал, звуковой и вибросигнал при опасном результате. Только просмотр.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sz w:val="24"/>
              </w:rPr>
              <w:t>3. Командный пункт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sz w:val="24"/>
              </w:rPr>
              <w:t>Поверхность</w:t>
            </w:r>
          </w:p>
        </w:tc>
        <w:tc>
          <w:tcPr>
            <w:tcW w:type="dxa" w:w="5046"/>
          </w:tcPr>
          <w:p>
            <w:pPr>
              <w:jc w:val="left"/>
            </w:pPr>
            <w:r/>
            <w:r>
              <w:rPr>
                <w:sz w:val="24"/>
              </w:rPr>
              <w:t>Подключается по коду операции (смартфон или компьютер). Ведёт журнал всех расчётов со временем, выгружает документы в Word, печатает. Только просмотр.</w:t>
            </w:r>
          </w:p>
        </w:tc>
      </w:tr>
    </w:tbl>
    <w:p>
      <w:pPr>
        <w:spacing w:after="80"/>
      </w:pPr>
    </w:p>
    <w:p>
      <w:pPr>
        <w:spacing w:after="80" w:before="80"/>
        <w:jc w:val="left"/>
      </w:pPr>
      <w:r>
        <w:rPr>
          <w:b/>
          <w:i w:val="0"/>
        </w:rPr>
        <w:t>3. Передача расчётов</w:t>
      </w:r>
    </w:p>
    <w:p>
      <w:pPr>
        <w:ind w:left="709" w:hanging="283"/>
        <w:jc w:val="both"/>
      </w:pPr>
      <w:r>
        <w:t xml:space="preserve">–  </w:t>
      </w:r>
      <w:r>
        <w:rPr>
          <w:b/>
        </w:rPr>
        <w:t>При наличии связи —</w:t>
      </w:r>
      <w:r>
        <w:t xml:space="preserve"> каждый расчёт командира передаётся на сервер и в течение нескольких секунд отображается на устройствах подземной базы и командного пункта. При опасном результате (смесь взрывоопасна, температура выше допустимой) включаются звуковой сигнал, вибрация и красное предупреждение, которое требует подтверждения «Принято».</w:t>
      </w:r>
    </w:p>
    <w:p>
      <w:pPr>
        <w:ind w:left="709" w:hanging="283"/>
        <w:jc w:val="both"/>
      </w:pPr>
      <w:r>
        <w:t xml:space="preserve">–  </w:t>
      </w:r>
      <w:r>
        <w:rPr>
          <w:b/>
        </w:rPr>
        <w:t>При отсутствии связи —</w:t>
      </w:r>
      <w:r>
        <w:t xml:space="preserve"> расчёт сохраняется в устройстве командира с пометкой «не передан» и отправляется автоматически при появлении связи. Ни один расчёт не теряется.</w:t>
      </w:r>
    </w:p>
    <w:p>
      <w:pPr>
        <w:ind w:left="709" w:hanging="283"/>
        <w:jc w:val="both"/>
      </w:pPr>
      <w:r>
        <w:t xml:space="preserve">–  </w:t>
      </w:r>
      <w:r>
        <w:rPr>
          <w:b/>
        </w:rPr>
        <w:t>Резервный канал — голосом:</w:t>
      </w:r>
      <w:r>
        <w:t xml:space="preserve"> программа формирует короткий код расчёта (например, Т-8-1-0,5-12), который командир диктует по шахтной связи. На базе код вводится, и открывается тот же расчёт с графиком и заключением.</w:t>
      </w:r>
    </w:p>
    <w:p>
      <w:pPr>
        <w:spacing w:after="80" w:before="160"/>
        <w:jc w:val="left"/>
      </w:pPr>
      <w:r>
        <w:rPr>
          <w:b/>
          <w:i w:val="0"/>
        </w:rPr>
        <w:t>4. Вопросы, требующие проработки с ВГСЧ</w:t>
      </w:r>
    </w:p>
    <w:p>
      <w:pPr>
        <w:ind w:left="709" w:hanging="397"/>
        <w:jc w:val="both"/>
      </w:pPr>
      <w:r>
        <w:t xml:space="preserve">1. </w:t>
      </w:r>
      <w:r>
        <w:rPr>
          <w:b/>
        </w:rPr>
        <w:t>Связь.</w:t>
      </w:r>
      <w:r>
        <w:t xml:space="preserve"> Наличие на обслуживаемых шахтах и рудниках подземной сети передачи данных (Wi-Fi, системы позиционирования и связи в составе МФСБ) с выходом за пределы шахты. При её наличии передача расчётов идёт в реальном времени, при отсутствии используется голосовой канал.</w:t>
      </w:r>
    </w:p>
    <w:p>
      <w:pPr>
        <w:ind w:left="709" w:hanging="397"/>
        <w:jc w:val="both"/>
      </w:pPr>
      <w:r>
        <w:t xml:space="preserve">2. </w:t>
      </w:r>
      <w:r>
        <w:rPr>
          <w:b/>
        </w:rPr>
        <w:t>Взрывозащищённые устройства.</w:t>
      </w:r>
      <w:r>
        <w:t xml:space="preserve"> В шахтах, опасных по газу и пыли, допускается применение только смартфонов и планшетов в рудничном взрывозащищённом исполнении (маркировка РО / РВ). Требуется согласовать перечень допустимых моделей на базе Android.</w:t>
      </w:r>
    </w:p>
    <w:p>
      <w:pPr>
        <w:ind w:left="709" w:hanging="397"/>
        <w:jc w:val="both"/>
      </w:pPr>
      <w:r>
        <w:t xml:space="preserve">3. </w:t>
      </w:r>
      <w:r>
        <w:rPr>
          <w:b/>
        </w:rPr>
        <w:t>Методическая проверка.</w:t>
      </w:r>
      <w:r>
        <w:t xml:space="preserve"> Проверка специалистами ВГСЧ правильности табличных данных и алгоритмов расчётов ЗВТ и треугольника взрываемости, их соответствия действующим нормативным документам и Уставу.</w:t>
      </w:r>
    </w:p>
    <w:p>
      <w:pPr>
        <w:ind w:left="709" w:hanging="397"/>
        <w:jc w:val="both"/>
      </w:pPr>
      <w:r>
        <w:t xml:space="preserve">4. </w:t>
      </w:r>
      <w:r>
        <w:rPr>
          <w:b/>
        </w:rPr>
        <w:t>Эргономика.</w:t>
      </w:r>
      <w:r>
        <w:t xml:space="preserve"> Работа в перчатках и при свете головного светильника: крупные элементы управления, тёмная тема, крупные цифры. Уточнение требований по результатам учений.</w:t>
      </w:r>
    </w:p>
    <w:p>
      <w:pPr>
        <w:spacing w:after="80" w:before="160"/>
        <w:jc w:val="left"/>
      </w:pPr>
      <w:r>
        <w:rPr>
          <w:b/>
          <w:i w:val="0"/>
        </w:rPr>
        <w:t>5. Предложения о совместной работе</w:t>
      </w:r>
    </w:p>
    <w:p>
      <w:pPr>
        <w:spacing w:after="40" w:before="0"/>
        <w:ind w:firstLine="709"/>
        <w:jc w:val="both"/>
      </w:pPr>
      <w:r>
        <w:rPr>
          <w:b w:val="0"/>
          <w:i w:val="0"/>
        </w:rPr>
        <w:t>Учебный центр «ГорГазНефть» предлагает:</w:t>
      </w:r>
    </w:p>
    <w:p>
      <w:pPr>
        <w:ind w:left="709" w:hanging="397"/>
        <w:jc w:val="both"/>
      </w:pPr>
      <w:r>
        <w:t xml:space="preserve">1. </w:t>
      </w:r>
      <w:r>
        <w:rPr>
          <w:b/>
        </w:rPr>
        <w:t>Провести презентацию</w:t>
      </w:r>
      <w:r>
        <w:t xml:space="preserve"> программного комплекса специалистам подразделения (очно в г. Сибае или на базе подразделения).</w:t>
      </w:r>
    </w:p>
    <w:p>
      <w:pPr>
        <w:ind w:left="709" w:hanging="397"/>
        <w:jc w:val="both"/>
      </w:pPr>
      <w:r>
        <w:t xml:space="preserve">2. </w:t>
      </w:r>
      <w:r>
        <w:rPr>
          <w:b/>
        </w:rPr>
        <w:t>Организовать пилотную апробацию</w:t>
      </w:r>
      <w:r>
        <w:t xml:space="preserve"> программы в ходе плановых тренировок и учебных тревог: одно отделение — комплект из трёх устройств; оценить скорость расчётов, удобство и надёжность передачи.</w:t>
      </w:r>
    </w:p>
    <w:p>
      <w:pPr>
        <w:ind w:left="709" w:hanging="397"/>
        <w:jc w:val="both"/>
      </w:pPr>
      <w:r>
        <w:t xml:space="preserve">3. </w:t>
      </w:r>
      <w:r>
        <w:rPr>
          <w:b/>
        </w:rPr>
        <w:t>Совместно проверить</w:t>
      </w:r>
      <w:r>
        <w:t xml:space="preserve"> и доработать расчётные модули по замечаниям специалистов ГИО; дополнить комплекс расчётами, востребованными в практике подразделения.</w:t>
      </w:r>
    </w:p>
    <w:p>
      <w:pPr>
        <w:ind w:left="709" w:hanging="397"/>
        <w:jc w:val="both"/>
      </w:pPr>
      <w:r>
        <w:t xml:space="preserve">4. </w:t>
      </w:r>
      <w:r>
        <w:rPr>
          <w:b/>
        </w:rPr>
        <w:t>Включить</w:t>
      </w:r>
      <w:r>
        <w:t xml:space="preserve"> в учебные программы Центра (подготовка и повышение квалификации) практические занятия по оперативным расчётам с использованием комплекса.</w:t>
      </w:r>
    </w:p>
    <w:p>
      <w:pPr>
        <w:ind w:left="709" w:hanging="397"/>
        <w:jc w:val="both"/>
      </w:pPr>
      <w:r>
        <w:t xml:space="preserve">5. </w:t>
      </w:r>
      <w:r>
        <w:rPr>
          <w:b/>
        </w:rPr>
        <w:t>Оформить</w:t>
      </w:r>
      <w:r>
        <w:t xml:space="preserve"> по итогам апробации совместный акт с выводами и рекомендациями о возможности применения комплекса.</w:t>
      </w:r>
    </w:p>
    <w:p>
      <w:pPr>
        <w:spacing w:after="0" w:before="160"/>
        <w:ind w:firstLine="709"/>
        <w:jc w:val="both"/>
      </w:pPr>
      <w:r>
        <w:rPr>
          <w:b w:val="0"/>
          <w:i w:val="0"/>
        </w:rPr>
        <w:t>Просим рассмотреть настоящее предложение, определить ответственное контактное лицо со стороны подразделения и сообщить о возможных сроках проведения презентации и пилотной апробации.</w:t>
      </w:r>
    </w:p>
    <w:p>
      <w:pPr>
        <w:spacing w:after="360" w:before="160"/>
        <w:jc w:val="left"/>
      </w:pPr>
      <w:r>
        <w:rPr>
          <w:b w:val="0"/>
          <w:i w:val="0"/>
        </w:rPr>
        <w:t>Приложение: Описание программного комплекса «САУ» и этапы внедрения на 2 л. в 1 экз.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4252"/>
          </w:tcPr>
          <w:p>
            <w:r>
              <w:t>Директор</w:t>
              <w:br/>
              <w:t>учебного центра «ГорГазНефть»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br/>
              <w:t>__________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br/>
              <w:t>______________</w:t>
            </w:r>
          </w:p>
        </w:tc>
      </w:tr>
    </w:tbl>
    <w:p>
      <w:pPr>
        <w:spacing w:after="480" w:before="0"/>
        <w:ind w:firstLine="709"/>
        <w:jc w:val="both"/>
      </w:pPr>
    </w:p>
    <w:p>
      <w:pPr>
        <w:spacing w:after="0" w:before="0"/>
        <w:jc w:val="left"/>
      </w:pPr>
      <w:r>
        <w:rPr>
          <w:b w:val="0"/>
          <w:i w:val="0"/>
          <w:sz w:val="20"/>
        </w:rPr>
        <w:t>Исполнитель: ______________________</w:t>
        <w:br/>
        <w:t>тел.: ______________, e-mail: ______________</w:t>
      </w:r>
    </w:p>
    <w:p>
      <w:r>
        <w:br w:type="page"/>
      </w:r>
    </w:p>
    <w:p>
      <w:pPr>
        <w:spacing w:after="240" w:before="0"/>
        <w:jc w:val="right"/>
      </w:pPr>
      <w:r>
        <w:rPr>
          <w:b w:val="0"/>
          <w:i w:val="0"/>
          <w:sz w:val="24"/>
        </w:rPr>
        <w:t>Приложение</w:t>
        <w:br/>
        <w:t>к письму от «___» ________ 2026 г. № ____</w:t>
      </w:r>
    </w:p>
    <w:p>
      <w:pPr>
        <w:spacing w:after="200" w:before="0"/>
        <w:jc w:val="center"/>
      </w:pPr>
      <w:r>
        <w:rPr>
          <w:b/>
          <w:i w:val="0"/>
        </w:rPr>
        <w:t>ОПИСАНИЕ ПРОГРАММНОГО КОМПЛЕКСА «САУ»</w:t>
        <w:br/>
        <w:t>И ЭТАПЫ ВНЕДРЕНИЯ</w:t>
      </w:r>
    </w:p>
    <w:p>
      <w:pPr>
        <w:spacing w:after="80" w:before="0"/>
        <w:jc w:val="left"/>
      </w:pPr>
      <w:r>
        <w:rPr>
          <w:b/>
          <w:i w:val="0"/>
        </w:rPr>
        <w:t>1. Основные характеристики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6520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22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2"/>
              </w:rPr>
              <w:t>Наименование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sz w:val="22"/>
              </w:rPr>
              <w:t>САУ — Схема аварийного участка (с модулем ГИО)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2"/>
              </w:rPr>
              <w:t>Платформы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sz w:val="22"/>
              </w:rPr>
              <w:t>Компьютер (Windows, браузер или отдельная программа); смартфон и планшет Android (Chrome), iPhone (Safari)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2"/>
              </w:rPr>
              <w:t>Установка на смартфон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sz w:val="22"/>
              </w:rPr>
              <w:t>Как приложение — ярлык на рабочем столе, без магазина приложений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2"/>
              </w:rPr>
              <w:t>Работа без связи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sz w:val="22"/>
              </w:rPr>
              <w:t>Да. Расчёты, ввод данных и журнал работают без интернета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2"/>
              </w:rPr>
              <w:t>Расчётные модули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sz w:val="22"/>
              </w:rPr>
              <w:t>ЗВТ (Приказ Ростехнадзора № 520, Прил. 6); треугольник взрываемости CH₄+CO+H₂ (Боевой устав ВГСЧ, Прил. 11); пределы взрываемости горючих газов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2"/>
              </w:rPr>
              <w:t>Документы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sz w:val="22"/>
              </w:rPr>
              <w:t>Word (.docx), печатная форма А4 с графиком, текстовый отчёт для мессенджера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2"/>
              </w:rPr>
              <w:t>Передача данных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sz w:val="22"/>
              </w:rPr>
              <w:t>Операция по коду из 4 цифр; роли: командир, подземная база, командный пункт; автоматическая досылка при восстановлении связи; голосовой код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2"/>
              </w:rPr>
              <w:t>Хранение данных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sz w:val="22"/>
              </w:rPr>
              <w:t>В памяти устройства; при передаче — на защищённом сервере на время операции</w:t>
            </w:r>
          </w:p>
        </w:tc>
      </w:tr>
    </w:tbl>
    <w:p>
      <w:pPr>
        <w:spacing w:after="80"/>
      </w:pPr>
    </w:p>
    <w:p>
      <w:pPr>
        <w:spacing w:after="80" w:before="80"/>
        <w:jc w:val="left"/>
      </w:pPr>
      <w:r>
        <w:rPr>
          <w:b/>
          <w:i w:val="0"/>
        </w:rPr>
        <w:t>2. Порядок работы отделения</w:t>
      </w:r>
    </w:p>
    <w:p>
      <w:pPr>
        <w:ind w:left="709" w:hanging="397"/>
        <w:jc w:val="both"/>
      </w:pPr>
      <w:r>
        <w:t xml:space="preserve">1. </w:t>
      </w:r>
      <w:r>
        <w:rPr>
          <w:b/>
        </w:rPr>
        <w:t>Перед выходом.</w:t>
      </w:r>
      <w:r>
        <w:t xml:space="preserve"> Командир отделения на своём устройстве открывает вкладку «Операция», нажимает «Начать операцию» и сообщает код подземной базе и командному пункту.</w:t>
      </w:r>
    </w:p>
    <w:p>
      <w:pPr>
        <w:ind w:left="709" w:hanging="397"/>
        <w:jc w:val="both"/>
      </w:pPr>
      <w:r>
        <w:t xml:space="preserve">2. </w:t>
      </w:r>
      <w:r>
        <w:rPr>
          <w:b/>
        </w:rPr>
        <w:t>Подключение.</w:t>
      </w:r>
      <w:r>
        <w:t xml:space="preserve"> На устройствах базы и КП выбирается роль и вводится код. Связь подтверждается зелёным индикатором.</w:t>
      </w:r>
    </w:p>
    <w:p>
      <w:pPr>
        <w:ind w:left="709" w:hanging="397"/>
        <w:jc w:val="both"/>
      </w:pPr>
      <w:r>
        <w:t xml:space="preserve">3. </w:t>
      </w:r>
      <w:r>
        <w:rPr>
          <w:b/>
        </w:rPr>
        <w:t>В ходе работ.</w:t>
      </w:r>
      <w:r>
        <w:t xml:space="preserve"> Командир выполняет расчёт ЗВТ или «Треугольник» и нажимает «Передать». Результат появляется на базе и КП; опасный результат сопровождается сигналом.</w:t>
      </w:r>
    </w:p>
    <w:p>
      <w:pPr>
        <w:ind w:left="709" w:hanging="397"/>
        <w:jc w:val="both"/>
      </w:pPr>
      <w:r>
        <w:t xml:space="preserve">4. </w:t>
      </w:r>
      <w:r>
        <w:rPr>
          <w:b/>
        </w:rPr>
        <w:t>Нет связи.</w:t>
      </w:r>
      <w:r>
        <w:t xml:space="preserve"> При отсутствии связи расчёт помечается «не передан» и уходит автоматически; при необходимости командир диктует голосовой код расчёта.</w:t>
      </w:r>
    </w:p>
    <w:p>
      <w:pPr>
        <w:ind w:left="709" w:hanging="397"/>
        <w:jc w:val="both"/>
      </w:pPr>
      <w:r>
        <w:t xml:space="preserve">5. </w:t>
      </w:r>
      <w:r>
        <w:rPr>
          <w:b/>
        </w:rPr>
        <w:t>По окончании.</w:t>
      </w:r>
      <w:r>
        <w:t xml:space="preserve"> Командир завершает операцию; на КП журнал расчётов выгружается в Word для отчётной документации.</w:t>
      </w:r>
    </w:p>
    <w:p>
      <w:pPr>
        <w:spacing w:after="80" w:before="160"/>
        <w:jc w:val="left"/>
      </w:pPr>
      <w:r>
        <w:rPr>
          <w:b/>
          <w:i w:val="0"/>
        </w:rPr>
        <w:t>3. Этапы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454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2381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22"/>
              </w:rPr>
              <w:t>Этап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22"/>
              </w:rPr>
              <w:t>Содержание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22"/>
              </w:rPr>
              <w:t>Состояние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sz w:val="22"/>
              </w:rPr>
              <w:t>Расчёты и документы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2"/>
              </w:rPr>
              <w:t>Схема аварийного участка, ЗВТ, треугольник взрываемости, Word и печать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2"/>
              </w:rPr>
              <w:t>Реализовано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sz w:val="22"/>
              </w:rPr>
              <w:t>Смартфон и работа без связи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2"/>
              </w:rPr>
              <w:t>Установка на смартфон, офлайн-режим, интерфейс для работы в перчатках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2"/>
              </w:rPr>
              <w:t>Реализовано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sz w:val="22"/>
              </w:rPr>
              <w:t>3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sz w:val="22"/>
              </w:rPr>
              <w:t>Комплект из трёх устройств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2"/>
              </w:rPr>
              <w:t>Операция по коду, роли, передача расчётов, сигнал опасности, журнал КП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2"/>
              </w:rPr>
              <w:t>Реализовано, проходит отладку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sz w:val="22"/>
              </w:rPr>
              <w:t>4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sz w:val="22"/>
              </w:rPr>
              <w:t>Голосовой код расчёта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2"/>
              </w:rPr>
              <w:t>Передача расчёта коротким кодом по шахтной связи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2"/>
              </w:rPr>
              <w:t>Планируется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sz w:val="22"/>
              </w:rPr>
              <w:t>5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sz w:val="22"/>
              </w:rPr>
              <w:t>Методическая проверка ВГСЧ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2"/>
              </w:rPr>
              <w:t>Проверка алгоритмов и табличных данных специалистами ГИО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2"/>
              </w:rPr>
              <w:t>Предлагается совместно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sz w:val="22"/>
              </w:rPr>
              <w:t>6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sz w:val="22"/>
              </w:rPr>
              <w:t>Пилотная апробация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2"/>
              </w:rPr>
              <w:t>Применение на тренировках и учебных тревогах, сбор замечаний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2"/>
              </w:rPr>
              <w:t>Предлагается совместно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sz w:val="22"/>
              </w:rPr>
              <w:t>7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sz w:val="22"/>
              </w:rPr>
              <w:t>Учебный курс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2"/>
              </w:rPr>
              <w:t>Включение в программы подготовки учебного центра «ГорГазНефть»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2"/>
              </w:rPr>
              <w:t>Предлагается совместно</w:t>
            </w:r>
          </w:p>
        </w:tc>
      </w:tr>
    </w:tbl>
    <w:p>
      <w:pPr>
        <w:spacing w:after="80"/>
      </w:pPr>
    </w:p>
    <w:p>
      <w:pPr>
        <w:spacing w:after="80" w:before="80"/>
        <w:jc w:val="left"/>
      </w:pPr>
      <w:r>
        <w:rPr>
          <w:b/>
          <w:i w:val="0"/>
        </w:rPr>
        <w:t>4. Требования к оборудованию</w:t>
      </w:r>
    </w:p>
    <w:p>
      <w:pPr>
        <w:ind w:left="709" w:hanging="283"/>
        <w:jc w:val="both"/>
      </w:pPr>
      <w:r>
        <w:t xml:space="preserve">–  </w:t>
      </w:r>
      <w:r>
        <w:rPr>
          <w:b/>
        </w:rPr>
        <w:t>Подземная часть:</w:t>
      </w:r>
      <w:r>
        <w:t xml:space="preserve"> смартфоны / планшеты на Android с браузером Chrome; для шахт, опасных по газу и пыли, — только во взрывозащищённом исполнении (РО / РВ).</w:t>
      </w:r>
    </w:p>
    <w:p>
      <w:pPr>
        <w:ind w:left="709" w:hanging="283"/>
        <w:jc w:val="both"/>
      </w:pPr>
      <w:r>
        <w:t xml:space="preserve">–  </w:t>
      </w:r>
      <w:r>
        <w:rPr>
          <w:b/>
        </w:rPr>
        <w:t>Командный пункт:</w:t>
      </w:r>
      <w:r>
        <w:t xml:space="preserve"> любой компьютер или смартфон с доступом в интернет.</w:t>
      </w:r>
    </w:p>
    <w:p>
      <w:pPr>
        <w:ind w:left="709" w:hanging="283"/>
        <w:jc w:val="both"/>
      </w:pPr>
      <w:r>
        <w:t xml:space="preserve">–  </w:t>
      </w:r>
      <w:r>
        <w:rPr>
          <w:b/>
        </w:rPr>
        <w:t>Связь:</w:t>
      </w:r>
      <w:r>
        <w:t xml:space="preserve"> подземная сеть передачи данных с выходом в интернет (при наличии); при её отсутствии — голосовой канал шахтной связи.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