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mbria" w:cs="Cambria" w:eastAsia="Cambria" w:hAnsi="Cambria"/>
          <w:b/>
          <w:bCs/>
          <w:color w:val="222222"/>
          <w:spacing w:val="14"/>
          <w:sz w:val="40"/>
          <w:szCs w:val="40"/>
        </w:rPr>
        <w:t xml:space="preserve">INGRID PAULINA CASTILLO PÉREZ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5C4033"/>
          <w:spacing w:val="20"/>
        </w:rPr>
        <w:t xml:space="preserve">ING. COMUNICACIONES Y ELECTRÓNICA</w:t>
      </w:r>
    </w:p>
    <w:p>
      <w:pPr>
        <w:pBdr>
          <w:bottom w:val="single" w:color="5C4033" w:sz="8" w:space="8"/>
        </w:pBdr>
        <w:spacing w:after="60"/>
        <w:jc w:val="center"/>
      </w:pPr>
      <w:r>
        <w:rPr>
          <w:rFonts w:ascii="Calibri" w:cs="Calibri" w:eastAsia="Calibri" w:hAnsi="Calibri"/>
          <w:color w:val="5A5A5A"/>
          <w:sz w:val="18"/>
          <w:szCs w:val="18"/>
        </w:rPr>
        <w:t xml:space="preserve">Guerrero, Cuauhtémoc, 06300, CDMX   |   5591920047   |   ipcp1101@outlook.com</w:t>
      </w:r>
    </w:p>
    <w:p>
      <w:pPr>
        <w:pBdr>
          <w:bottom w:val="single" w:color="5C4033" w:sz="4" w:space="4"/>
        </w:pBdr>
        <w:spacing w:after="120" w:before="320"/>
      </w:pPr>
      <w:r>
        <w:rPr>
          <w:rFonts w:ascii="Cambria" w:cs="Cambria" w:eastAsia="Cambria" w:hAnsi="Cambria"/>
          <w:b/>
          <w:bCs/>
          <w:color w:val="5C4033"/>
          <w:spacing w:val="12"/>
          <w:sz w:val="22"/>
          <w:szCs w:val="22"/>
        </w:rPr>
        <w:t xml:space="preserve">PERFIL PROFESIONAL</w:t>
      </w:r>
    </w:p>
    <w:p>
      <w:pPr>
        <w:spacing w:after="100"/>
        <w:jc w:val="both"/>
      </w:pPr>
      <w:r>
        <w:rPr>
          <w:rFonts w:ascii="Calibri" w:cs="Calibri" w:eastAsia="Calibri" w:hAnsi="Calibri"/>
          <w:color w:val="222222"/>
        </w:rPr>
        <w:t xml:space="preserve">Como profesional busco aportar mis conocimientos en tecnologías de la información para ofrecer el mejor servicio en la instalación, mantenimiento, gestión y actualización de software e instalación de hardware. Busco, además, un entorno dinámico donde seguir aprendiendo y creciendo profesionalmente, ofreciendo soluciones efectivas y eficientes. Aspiro a ser un elemento confiable y efectivo que contribuya al crecimiento y éxito de la empresa.</w:t>
      </w:r>
    </w:p>
    <w:p>
      <w:pPr>
        <w:pBdr>
          <w:bottom w:val="single" w:color="5C4033" w:sz="4" w:space="4"/>
        </w:pBdr>
        <w:spacing w:after="120" w:before="320"/>
      </w:pPr>
      <w:r>
        <w:rPr>
          <w:rFonts w:ascii="Cambria" w:cs="Cambria" w:eastAsia="Cambria" w:hAnsi="Cambria"/>
          <w:b/>
          <w:bCs/>
          <w:color w:val="5C4033"/>
          <w:spacing w:val="12"/>
          <w:sz w:val="22"/>
          <w:szCs w:val="22"/>
        </w:rPr>
        <w:t xml:space="preserve">EXPERIENCIA PROFESIONAL</w:t>
      </w:r>
    </w:p>
    <w:p>
      <w:pPr>
        <w:tabs>
          <w:tab w:val="right" w:pos="10080"/>
        </w:tabs>
        <w:spacing w:after="70" w:before="20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Grupo Médico Delihealths</w:t>
      </w:r>
      <w:r>
        <w:rPr>
          <w:rFonts w:ascii="Calibri" w:cs="Calibri" w:eastAsia="Calibri" w:hAnsi="Calibri"/>
          <w:i/>
          <w:iCs/>
          <w:color w:val="7F7F7F"/>
          <w:sz w:val="21"/>
          <w:szCs w:val="21"/>
        </w:rPr>
        <w:t xml:space="preserve"> / Soporte Técnico</w:t>
      </w:r>
      <w:r>
        <w:rPr>
          <w:rFonts w:ascii="Calibri" w:cs="Calibri" w:eastAsia="Calibri" w:hAnsi="Calibri"/>
          <w:color w:val="5A5A5A"/>
          <w:sz w:val="18"/>
          <w:szCs w:val="18"/>
        </w:rPr>
        <w:t xml:space="preserve">	Jun 2025 – Ago 2026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Soporte técnico y gestión de incidencias: Atención, diagnóstico, seguimiento y resolución de incidencias de hardware, software, Microsoft 365, conectividad, periféricos y plataformas corporativas para usuarios y sedes remotas.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Administración de equipos e inventario tecnológico: Gestión del ciclo de vida de equipos de cómputo y dispositivos móviles, incluyendo asignaciones, altas, bajas, resguardos, inventarios, validación física y funcional, movimientos entre sedes y recuperación de activos.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Administración de usuarios, accesos y permisos: Creación, modificación y baja de cuentas; administración de permisos, credenciales, accesos a plataformas internas y soporte a procesos de autenticación y recuperación de cuentas.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Onboarding y offboarding tecnológico: Preparación y entrega de equipos, configuración de accesos y herramientas para nuevos ingresos, así como revocación de accesos, recuperación de activos y cierre tecnológico en procesos de baja.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Administración y soporte de plataformas corporativas: Soporte operativo a Microsoft 365, Teams, Outlook, OneDrive, Nimbo, Monday.com, Metabase/Estela, Odoo, sistemas administrativos Aspel y otras herramientas internas.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Diagnóstico y mantenimiento de equipos: Evaluación de fallas de hardware y software, reinstalación y recuperación de sistemas, gestión de controladores, respaldos, clonación de discos, configuración de periféricos y validaciones posteriores a mantenimiento.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Gestión documental y control de activos: Elaboración y seguimiento de responsivas, registros de asignación, evidencias fotográficas, reportes técnicos, documentación de incidencias y actualización de bases de datos de inventario y credenciales.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Seguimiento a proveedores y servicios tecnológicos: Coordinación de soporte con proveedores externos, seguimiento de garantías, adquisición o sustitución de componentes, líneas y dispositivos de telecomunicaciones y escalamiento de incidencias.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Análisis, seguimiento y mejora de procesos: Creación y mantenimiento de formularios, tableros, controles y reportes para seguimiento de incidencias, equipos, accesos y operación; identificación de discrepancias y riesgos relacionados con inventarios y cumplimiento de procesos.</w:t>
      </w:r>
    </w:p>
    <w:p>
      <w:pPr>
        <w:tabs>
          <w:tab w:val="right" w:pos="10080"/>
        </w:tabs>
        <w:spacing w:after="70" w:before="20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Casa Financiera</w:t>
      </w:r>
      <w:r>
        <w:rPr>
          <w:rFonts w:ascii="Calibri" w:cs="Calibri" w:eastAsia="Calibri" w:hAnsi="Calibri"/>
          <w:i/>
          <w:iCs/>
          <w:color w:val="7F7F7F"/>
          <w:sz w:val="21"/>
          <w:szCs w:val="21"/>
        </w:rPr>
        <w:t xml:space="preserve"> / Analista de Datos</w:t>
      </w:r>
      <w:r>
        <w:rPr>
          <w:rFonts w:ascii="Calibri" w:cs="Calibri" w:eastAsia="Calibri" w:hAnsi="Calibri"/>
          <w:color w:val="5A5A5A"/>
          <w:sz w:val="18"/>
          <w:szCs w:val="18"/>
        </w:rPr>
        <w:t xml:space="preserve">	Jul 2024 – Jun 2025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Gestión y análisis de solicitudes de crédito hipotecario, validando información personal, financiera y documental para procesos de precalificación y aprobación.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Análisis de expedientes conforme a políticas bancarias y gestión de casos en plataformas de Scotiabank, Banamex, HSBC, Banorte y Santander.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Seguimiento de precalificación, aprobación y avalúo; integración documental, carga de expedientes y atención de observaciones de mesas de control.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Gestión directa con instituciones bancarias para aclaraciones y reconsideración de casos, sustentando solicitudes mediante análisis de expedientes.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Creación y administración de una base de seguimiento de más de 2,000 registros, controlando folios, banco, estatus, documentación y resultados; comunicación continua con brokers hipotecarios.</w:t>
      </w:r>
    </w:p>
    <w:p>
      <w:pPr>
        <w:pBdr>
          <w:bottom w:val="single" w:color="5C4033" w:sz="4" w:space="4"/>
        </w:pBdr>
        <w:spacing w:after="120" w:before="320"/>
      </w:pPr>
      <w:r>
        <w:rPr>
          <w:rFonts w:ascii="Cambria" w:cs="Cambria" w:eastAsia="Cambria" w:hAnsi="Cambria"/>
          <w:b/>
          <w:bCs/>
          <w:color w:val="5C4033"/>
          <w:spacing w:val="12"/>
          <w:sz w:val="22"/>
          <w:szCs w:val="22"/>
        </w:rPr>
        <w:t xml:space="preserve">CURSOS Y CERTIFICACIONES</w:t>
      </w:r>
    </w:p>
    <w:p>
      <w:pPr>
        <w:tabs>
          <w:tab w:val="right" w:pos="10080"/>
        </w:tabs>
        <w:spacing w:after="70" w:before="20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Cisco Network Academy</w:t>
      </w:r>
      <w:r>
        <w:rPr>
          <w:rFonts w:ascii="Calibri" w:cs="Calibri" w:eastAsia="Calibri" w:hAnsi="Calibri"/>
          <w:color w:val="5A5A5A"/>
          <w:sz w:val="18"/>
          <w:szCs w:val="18"/>
        </w:rPr>
        <w:t xml:space="preserve">	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Introducción a IoT (Febrero, 2023)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Introducción a Packet Tracer (Febrero, 2023)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Introducción a la Ciberseguridad (Marzo, 2024)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Curso CCNA V.7 (Marzo, 2024)</w:t>
      </w:r>
    </w:p>
    <w:p>
      <w:pPr>
        <w:tabs>
          <w:tab w:val="right" w:pos="10080"/>
        </w:tabs>
        <w:spacing w:after="70" w:before="20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International Youth Fundation, CECATI 162</w:t>
      </w:r>
      <w:r>
        <w:rPr>
          <w:rFonts w:ascii="Calibri" w:cs="Calibri" w:eastAsia="Calibri" w:hAnsi="Calibri"/>
          <w:i/>
          <w:iCs/>
          <w:color w:val="7F7F7F"/>
          <w:sz w:val="21"/>
          <w:szCs w:val="21"/>
        </w:rPr>
        <w:t xml:space="preserve"> / Soporte TI</w:t>
      </w:r>
      <w:r>
        <w:rPr>
          <w:rFonts w:ascii="Calibri" w:cs="Calibri" w:eastAsia="Calibri" w:hAnsi="Calibri"/>
          <w:color w:val="5A5A5A"/>
          <w:sz w:val="18"/>
          <w:szCs w:val="18"/>
        </w:rPr>
        <w:t xml:space="preserve">	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Aspectos básicos de la asistencia técnica (Abril, 2021)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Los bites y bytes de las redes informáticas (Abril, 2021)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Sistemas operativos y tu: Convertirse en un superusuario (Mayo, 2021)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Administración de sistemas y servicios de infraestructura de TI (Mayo, 2021)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Seguridad Informática: Defensa contra las artes oscuras digitales (Junio, 2021)</w:t>
      </w:r>
    </w:p>
    <w:p>
      <w:pPr>
        <w:pBdr>
          <w:bottom w:val="single" w:color="5C4033" w:sz="4" w:space="4"/>
        </w:pBdr>
        <w:spacing w:after="120" w:before="320"/>
      </w:pPr>
      <w:r>
        <w:rPr>
          <w:rFonts w:ascii="Cambria" w:cs="Cambria" w:eastAsia="Cambria" w:hAnsi="Cambria"/>
          <w:b/>
          <w:bCs/>
          <w:color w:val="5C4033"/>
          <w:spacing w:val="12"/>
          <w:sz w:val="22"/>
          <w:szCs w:val="22"/>
        </w:rPr>
        <w:t xml:space="preserve">EDUCACIÓN</w:t>
      </w:r>
    </w:p>
    <w:p>
      <w:pPr>
        <w:tabs>
          <w:tab w:val="right" w:pos="10080"/>
        </w:tabs>
        <w:spacing w:after="10" w:before="140"/>
      </w:pPr>
      <w:r>
        <w:rPr>
          <w:rFonts w:ascii="Calibri" w:cs="Calibri" w:eastAsia="Calibri" w:hAnsi="Calibri"/>
          <w:b/>
          <w:bCs/>
          <w:color w:val="222222"/>
        </w:rPr>
        <w:t xml:space="preserve">Técnico en Telecomunicaciones</w:t>
      </w:r>
      <w:r>
        <w:rPr>
          <w:rFonts w:ascii="Calibri" w:cs="Calibri" w:eastAsia="Calibri" w:hAnsi="Calibri"/>
          <w:color w:val="5A5A5A"/>
          <w:sz w:val="18"/>
          <w:szCs w:val="18"/>
        </w:rPr>
        <w:t xml:space="preserve">	2011-2017</w:t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A5A5A"/>
          <w:sz w:val="19"/>
          <w:szCs w:val="19"/>
        </w:rPr>
        <w:t xml:space="preserve">Centro de Estudios Científicos y Tecnológicos No. 11 “Wilfrido Massieu”, Instituto Politécnico Nacional</w:t>
      </w:r>
    </w:p>
    <w:p>
      <w:pPr>
        <w:tabs>
          <w:tab w:val="right" w:pos="10080"/>
        </w:tabs>
        <w:spacing w:after="10" w:before="140"/>
      </w:pPr>
      <w:r>
        <w:rPr>
          <w:rFonts w:ascii="Calibri" w:cs="Calibri" w:eastAsia="Calibri" w:hAnsi="Calibri"/>
          <w:b/>
          <w:bCs/>
          <w:color w:val="222222"/>
        </w:rPr>
        <w:t xml:space="preserve">Ingeniería en Comunicaciones y Electrónica, Especialidad en Comunicaciones</w:t>
      </w:r>
      <w:r>
        <w:rPr>
          <w:rFonts w:ascii="Calibri" w:cs="Calibri" w:eastAsia="Calibri" w:hAnsi="Calibri"/>
          <w:color w:val="5A5A5A"/>
          <w:sz w:val="18"/>
          <w:szCs w:val="18"/>
        </w:rPr>
        <w:t xml:space="preserve">	2017-2024</w:t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A5A5A"/>
          <w:sz w:val="19"/>
          <w:szCs w:val="19"/>
        </w:rPr>
        <w:t xml:space="preserve">Escuela Superior de Ingeniería Mecánica y Eléctrica, Unidad Culhuacan, Instituto Politécnico Nacional</w:t>
      </w:r>
    </w:p>
    <w:p>
      <w:pPr>
        <w:pBdr>
          <w:bottom w:val="single" w:color="5C4033" w:sz="4" w:space="4"/>
        </w:pBdr>
        <w:spacing w:after="120" w:before="320"/>
      </w:pPr>
      <w:r>
        <w:rPr>
          <w:rFonts w:ascii="Cambria" w:cs="Cambria" w:eastAsia="Cambria" w:hAnsi="Cambria"/>
          <w:b/>
          <w:bCs/>
          <w:color w:val="5C4033"/>
          <w:spacing w:val="12"/>
          <w:sz w:val="22"/>
          <w:szCs w:val="22"/>
        </w:rPr>
        <w:t xml:space="preserve">COMPETENCIAS</w:t>
      </w:r>
    </w:p>
    <w:p>
      <w:pPr>
        <w:spacing w:after="9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Idiomas:  </w:t>
      </w:r>
      <w:r>
        <w:rPr>
          <w:rFonts w:ascii="Calibri" w:cs="Calibri" w:eastAsia="Calibri" w:hAnsi="Calibri"/>
          <w:color w:val="5A5A5A"/>
          <w:sz w:val="19"/>
          <w:szCs w:val="19"/>
        </w:rPr>
        <w:t xml:space="preserve">Español: Nativo  •  Inglés: Básico</w:t>
      </w:r>
    </w:p>
    <w:p>
      <w:pPr>
        <w:spacing w:after="9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Habilidades:  </w:t>
      </w:r>
      <w:r>
        <w:rPr>
          <w:rFonts w:ascii="Calibri" w:cs="Calibri" w:eastAsia="Calibri" w:hAnsi="Calibri"/>
          <w:color w:val="5A5A5A"/>
          <w:sz w:val="19"/>
          <w:szCs w:val="19"/>
        </w:rPr>
        <w:t xml:space="preserve">Comunicación asertiva  •  Trabajo en equipo  •  Empatía  •  Adaptabilidad  •  Pensamiento crítico</w:t>
      </w:r>
    </w:p>
    <w:p>
      <w:pPr>
        <w:spacing w:after="9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Software:  </w:t>
      </w:r>
      <w:r>
        <w:rPr>
          <w:rFonts w:ascii="Calibri" w:cs="Calibri" w:eastAsia="Calibri" w:hAnsi="Calibri"/>
          <w:color w:val="5A5A5A"/>
          <w:sz w:val="19"/>
          <w:szCs w:val="19"/>
        </w:rPr>
        <w:t xml:space="preserve">Microsoft Office  •  Windows  •  Linux (CMD, Powershell)  •  Azure  •  PnetLab  •  Cisco Packet Tracer  •  Wireshark  •  eNSP</w:t>
      </w:r>
    </w:p>
    <w:p>
      <w:pPr>
        <w:spacing w:after="9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Equipos de red:  </w:t>
      </w:r>
      <w:r>
        <w:rPr>
          <w:rFonts w:ascii="Calibri" w:cs="Calibri" w:eastAsia="Calibri" w:hAnsi="Calibri"/>
          <w:color w:val="5A5A5A"/>
          <w:sz w:val="19"/>
          <w:szCs w:val="19"/>
        </w:rPr>
        <w:t xml:space="preserve">Aplicación de diseño y administración de red  •  Manejo de router Huawei y Cisco  •  Manejo de switches  •  Configuración de equipos de red tipo estrella  •  Aplicación de protocolos de red: TCP/IP, VLAN, WLAN, NAT, DHCP, DNS, OSPF, RIP  •  Cableado estructurado de red básico horizontal</w:t>
      </w:r>
    </w:p>
    <w:sectPr>
      <w:pgSz w:w="12240" w:h="15840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2026-09-10T03:16:43.596Z</dcterms:created>
  <dcterms:modified xsi:type="dcterms:W3CDTF">2026-09-10T03:16:43.608Z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