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mbria" w:cs="Cambria" w:eastAsia="Cambria" w:hAnsi="Cambria"/>
          <w:b/>
          <w:bCs/>
          <w:color w:val="222222"/>
          <w:spacing w:val="14"/>
          <w:sz w:val="40"/>
          <w:szCs w:val="40"/>
        </w:rPr>
        <w:t xml:space="preserve">INGRID PAULINA CASTILLO PÉREZ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5C4033"/>
          <w:spacing w:val="10"/>
        </w:rPr>
        <w:t xml:space="preserve">IT Support Specialist | Operación de TI</w:t>
      </w:r>
    </w:p>
    <w:p>
      <w:pPr>
        <w:pBdr>
          <w:bottom w:val="single" w:color="5C4033" w:sz="8" w:space="8"/>
        </w:pBdr>
        <w:spacing w:after="60"/>
        <w:jc w:val="center"/>
      </w:pPr>
      <w:r>
        <w:rPr>
          <w:rFonts w:ascii="Calibri" w:cs="Calibri" w:eastAsia="Calibri" w:hAnsi="Calibri"/>
          <w:color w:val="5A5A5A"/>
          <w:sz w:val="18"/>
          <w:szCs w:val="18"/>
        </w:rPr>
        <w:t xml:space="preserve">CDMX   |   Disponibilidad inmediata   |   55 9192 0047 (WhatsApp)   |   ipcp1101@outlook.com   |   </w:t>
      </w:r>
      <w:hyperlink w:history="1" r:id="rIdpdfl56btk4fmfkz_e6unv">
        <w:r>
          <w:rPr>
            <w:rFonts w:ascii="Calibri" w:cs="Calibri" w:eastAsia="Calibri" w:hAnsi="Calibri"/>
            <w:color w:val="5A5A5A"/>
            <w:sz w:val="18"/>
            <w:szCs w:val="18"/>
            <w:u w:val="single"/>
          </w:rPr>
          <w:t xml:space="preserve">LinkedIn</w:t>
        </w:r>
      </w:hyperlink>
    </w:p>
    <w:p>
      <w:pPr>
        <w:pBdr>
          <w:bottom w:val="single" w:color="5C4033" w:sz="4" w:space="4"/>
        </w:pBdr>
        <w:spacing w:after="120" w:before="320"/>
      </w:pPr>
      <w:r>
        <w:rPr>
          <w:rFonts w:ascii="Cambria" w:cs="Cambria" w:eastAsia="Cambria" w:hAnsi="Cambria"/>
          <w:b/>
          <w:bCs/>
          <w:color w:val="5C4033"/>
          <w:spacing w:val="12"/>
          <w:sz w:val="22"/>
          <w:szCs w:val="22"/>
        </w:rPr>
        <w:t xml:space="preserve">PERFIL PROFESIONAL</w:t>
      </w:r>
    </w:p>
    <w:p>
      <w:pPr>
        <w:spacing w:after="100"/>
        <w:jc w:val="both"/>
      </w:pPr>
      <w:r>
        <w:rPr>
          <w:rFonts w:ascii="Calibri" w:cs="Calibri" w:eastAsia="Calibri" w:hAnsi="Calibri"/>
          <w:color w:val="222222"/>
        </w:rPr>
        <w:t xml:space="preserve">Cuento con experiencia en soporte y operación de TI, brindando atención a usuarios y soluciones a incidencias de hardware, software y plataformas corporativas. A lo largo de mi experiencia he desarrollado habilidades para administrar equipos, accesos y activos tecnológicos, así como para documentar y dar seguimiento a distintos requerimientos. Me caracterizo por ser organizada, analítica y resolutiva, con facilidad para adaptarme, aprender nuevas herramientas y contribuir a la mejora de los procesos tecnológicos.</w:t>
      </w:r>
    </w:p>
    <w:p>
      <w:pPr>
        <w:pBdr>
          <w:bottom w:val="single" w:color="5C4033" w:sz="4" w:space="4"/>
        </w:pBdr>
        <w:spacing w:after="120" w:before="320"/>
      </w:pPr>
      <w:r>
        <w:rPr>
          <w:rFonts w:ascii="Cambria" w:cs="Cambria" w:eastAsia="Cambria" w:hAnsi="Cambria"/>
          <w:b/>
          <w:bCs/>
          <w:color w:val="5C4033"/>
          <w:spacing w:val="12"/>
          <w:sz w:val="22"/>
          <w:szCs w:val="22"/>
        </w:rPr>
        <w:t xml:space="preserve">EXPERIENCIA PROFESIONAL</w:t>
      </w:r>
    </w:p>
    <w:p>
      <w:pPr>
        <w:tabs>
          <w:tab w:val="right" w:pos="10080"/>
        </w:tabs>
        <w:spacing w:after="70" w:before="2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Grupo Médico Delihealths</w:t>
      </w:r>
      <w:r>
        <w:rPr>
          <w:rFonts w:ascii="Calibri" w:cs="Calibri" w:eastAsia="Calibri" w:hAnsi="Calibri"/>
          <w:i/>
          <w:iCs/>
          <w:color w:val="7F7F7F"/>
          <w:sz w:val="21"/>
          <w:szCs w:val="21"/>
        </w:rPr>
        <w:t xml:space="preserve"> / Soporte Técnico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Jun 2025 – Ago 2026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Soporte técnico y gestión de incidencias: Atención, diagnóstico, seguimiento y resolución de incidencias de hardware, software, Microsoft 365, conectividad, periféricos y plataformas corporativas para usuarios y sedes remotas.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Administración de equipos e inventario tecnológico: Gestión del ciclo de vida de equipos de cómputo y dispositivos móviles, incluyendo asignaciones, altas, bajas, resguardos, inventarios, validación física y funcional, movimientos entre sedes y recuperación de activos.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Administración de usuarios, accesos y permisos: Creación, modificación y baja de cuentas; administración de permisos, credenciales, accesos a plataformas internas y soporte a procesos de autenticación y recuperación de cuentas.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Onboarding y offboarding tecnológico: Preparación y entrega de equipos, configuración de accesos y herramientas para nuevos ingresos, así como revocación de accesos, recuperación de activos y cierre tecnológico en procesos de baja.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Administración y soporte de plataformas corporativas: Soporte operativo a Microsoft 365, Teams, Outlook, OneDrive, Nimbo, Monday.com, Metabase/Estela, Odoo, sistemas administrativos Aspel y otras herramientas internas.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Diagnóstico y mantenimiento de equipos: Evaluación de fallas de hardware y software, reinstalación y recuperación de sistemas, gestión de controladores, respaldos, clonación de discos, configuración de periféricos y validaciones posteriores a mantenimiento.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Gestión documental y control de activos: Elaboración y seguimiento de responsivas, registros de asignación, evidencias fotográficas, reportes técnicos, documentación de incidencias y actualización de bases de datos de inventario y credenciales.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Seguimiento a proveedores y servicios tecnológicos: Coordinación de soporte con proveedores externos, seguimiento de garantías, adquisición o sustitución de componentes, líneas y dispositivos de telecomunicaciones y escalamiento de incidencias.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Análisis, seguimiento y mejora de procesos: Creación y mantenimiento de formularios, tableros, controles y reportes para seguimiento de incidencias, equipos, accesos y operación; identificación de discrepancias y riesgos relacionados con inventarios y cumplimiento de procesos.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Coordinación y seguimiento interdepartamental: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Comunicación con distintos equipos, responsables y usuarios para atender requerimientos tecnológicos, dar seguimiento a incidencias y asegurar la correcta ejecución de procesos internos.</w:t>
      </w:r>
    </w:p>
    <w:p>
      <w:pPr>
        <w:tabs>
          <w:tab w:val="right" w:pos="10080"/>
        </w:tabs>
        <w:spacing w:after="70" w:before="2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Casa Financiera</w:t>
      </w:r>
      <w:r>
        <w:rPr>
          <w:rFonts w:ascii="Calibri" w:cs="Calibri" w:eastAsia="Calibri" w:hAnsi="Calibri"/>
          <w:i/>
          <w:iCs/>
          <w:color w:val="7F7F7F"/>
          <w:sz w:val="21"/>
          <w:szCs w:val="21"/>
        </w:rPr>
        <w:t xml:space="preserve"> / Analista de Datos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Jul 2024 – Jun 2025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Gestión y análisis de solicitudes de crédito hipotecario, validando información personal, financiera y documental para procesos de precalificación y aprobación.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Análisis de expedientes conforme a políticas bancarias y gestión de casos en plataformas de Scotiabank, Banamex, HSBC, Banorte y Santander.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Seguimiento de precalificación, aprobación y avalúo; integración documental, carga de expedientes y atención de observaciones de mesas de control.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Gestión directa con instituciones bancarias para aclaraciones y reconsideración de casos, sustentando solicitudes mediante análisis de expedientes.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Creación y administración de una base de seguimiento de más de 2,000 registros, controlando folios, banco, estatus, documentación y resultados; comunicación continua con brokers hipotecarios.</w:t>
      </w:r>
    </w:p>
    <w:p>
      <w:pPr>
        <w:pBdr>
          <w:bottom w:val="single" w:color="5C4033" w:sz="4" w:space="4"/>
        </w:pBdr>
        <w:spacing w:after="120" w:before="320"/>
      </w:pPr>
      <w:r>
        <w:rPr>
          <w:rFonts w:ascii="Cambria" w:cs="Cambria" w:eastAsia="Cambria" w:hAnsi="Cambria"/>
          <w:b/>
          <w:bCs/>
          <w:color w:val="5C4033"/>
          <w:spacing w:val="12"/>
          <w:sz w:val="22"/>
          <w:szCs w:val="22"/>
        </w:rPr>
        <w:t xml:space="preserve">CURSOS Y CERTIFICACIONES</w:t>
      </w:r>
    </w:p>
    <w:p>
      <w:pPr>
        <w:tabs>
          <w:tab w:val="right" w:pos="10080"/>
        </w:tabs>
        <w:spacing w:after="70" w:before="2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Cisco Network Academy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Introducción a IoT (Febrero, 2023)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Introducción a Packet Tracer (Febrero, 2023)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Introducción a la Ciberseguridad (Marzo, 2024)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Curso CCNA V.7 (Marzo, 2024)</w:t>
      </w:r>
    </w:p>
    <w:p>
      <w:pPr>
        <w:tabs>
          <w:tab w:val="right" w:pos="10080"/>
        </w:tabs>
        <w:spacing w:after="70" w:before="2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International Youth Foundation, CECATI 162</w:t>
      </w:r>
      <w:r>
        <w:rPr>
          <w:rFonts w:ascii="Calibri" w:cs="Calibri" w:eastAsia="Calibri" w:hAnsi="Calibri"/>
          <w:i/>
          <w:iCs/>
          <w:color w:val="7F7F7F"/>
          <w:sz w:val="21"/>
          <w:szCs w:val="21"/>
        </w:rPr>
        <w:t xml:space="preserve"> / Soporte TI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Aspectos básicos de la asistencia técnica (Abril, 2021)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Los bits y bytes de las redes informáticas (Abril, 2021)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Sistemas operativos y tu: Convertirse en un superusuario (Mayo, 2021)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Administración de sistemas y servicios de infraestructura de TI (Mayo, 2021)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Seguridad Informática: Defensa contra las artes oscuras digitales (Junio, 2021)</w:t>
      </w:r>
    </w:p>
    <w:p>
      <w:pPr>
        <w:pBdr>
          <w:bottom w:val="single" w:color="5C4033" w:sz="4" w:space="4"/>
        </w:pBdr>
        <w:spacing w:after="120" w:before="320"/>
      </w:pPr>
      <w:r>
        <w:rPr>
          <w:rFonts w:ascii="Cambria" w:cs="Cambria" w:eastAsia="Cambria" w:hAnsi="Cambria"/>
          <w:b/>
          <w:bCs/>
          <w:color w:val="5C4033"/>
          <w:spacing w:val="12"/>
          <w:sz w:val="22"/>
          <w:szCs w:val="22"/>
        </w:rPr>
        <w:t xml:space="preserve">EDUCACIÓN</w:t>
      </w:r>
    </w:p>
    <w:p>
      <w:pPr>
        <w:tabs>
          <w:tab w:val="right" w:pos="10080"/>
        </w:tabs>
        <w:spacing w:after="10" w:before="140"/>
      </w:pPr>
      <w:r>
        <w:rPr>
          <w:rFonts w:ascii="Calibri" w:cs="Calibri" w:eastAsia="Calibri" w:hAnsi="Calibri"/>
          <w:b/>
          <w:bCs/>
          <w:color w:val="222222"/>
        </w:rPr>
        <w:t xml:space="preserve">Técnico en Telecomunicaciones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2011-2017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5A5A"/>
          <w:sz w:val="19"/>
          <w:szCs w:val="19"/>
        </w:rPr>
        <w:t xml:space="preserve">Centro de Estudios Científicos y Tecnológicos No. 11 “Wilfrido Massieu”, Instituto Politécnico Nacional</w:t>
      </w:r>
    </w:p>
    <w:p>
      <w:pPr>
        <w:tabs>
          <w:tab w:val="right" w:pos="10080"/>
        </w:tabs>
        <w:spacing w:after="10" w:before="140"/>
      </w:pPr>
      <w:r>
        <w:rPr>
          <w:rFonts w:ascii="Calibri" w:cs="Calibri" w:eastAsia="Calibri" w:hAnsi="Calibri"/>
          <w:b/>
          <w:bCs/>
          <w:color w:val="222222"/>
        </w:rPr>
        <w:t xml:space="preserve">Ingeniería en Comunicaciones y Electrónica, Especialidad en Comunicaciones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2017-2024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5A5A"/>
          <w:sz w:val="19"/>
          <w:szCs w:val="19"/>
        </w:rPr>
        <w:t xml:space="preserve">Escuela Superior de Ingeniería Mecánica y Eléctrica, Unidad Culhuacán, Instituto Politécnico Nacional. Pasante: servicio social concluido, titulación en trámite.</w:t>
      </w:r>
    </w:p>
    <w:p>
      <w:pPr>
        <w:pBdr>
          <w:bottom w:val="single" w:color="5C4033" w:sz="4" w:space="4"/>
        </w:pBdr>
        <w:spacing w:after="120" w:before="320"/>
      </w:pPr>
      <w:r>
        <w:rPr>
          <w:rFonts w:ascii="Cambria" w:cs="Cambria" w:eastAsia="Cambria" w:hAnsi="Cambria"/>
          <w:b/>
          <w:bCs/>
          <w:color w:val="5C4033"/>
          <w:spacing w:val="12"/>
          <w:sz w:val="22"/>
          <w:szCs w:val="22"/>
        </w:rPr>
        <w:t xml:space="preserve">COMPETENCIAS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Idiomas:  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Español: Nativo  •  Inglés: Básico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Habilidades:  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Comunicación asertiva  •  Trabajo en equipo  •  Empatía  •  Adaptabilidad  •  Pensamiento crítico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Software:  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Microsoft Office  •  Windows  •  Linux (CMD, Powershell)  •  Azure  •  PnetLab  •  Cisco Packet Tracer  •  Wireshark  •  eNSP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Equipos de red:  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Aplicación de diseño y administración de red  •  Manejo de router Huawei y Cisco  •  Manejo de switches  •  Configuración de equipos de red tipo estrella  •  Aplicación de protocolos de red: TCP/IP, VLAN, WLAN, NAT, DHCP, DNS, OSPF, RIP  •  Cableado estructurado de red básico horizontal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dfl56btk4fmfkz_e6unv" Type="http://schemas.openxmlformats.org/officeDocument/2006/relationships/hyperlink" Target="https://www.linkedin.com/in/ingrid-paulina-castillo-p%C3%A9rez-588a41213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2026-09-14T03:26:38.831Z</dcterms:created>
  <dcterms:modified xsi:type="dcterms:W3CDTF">2026-09-14T03:26:38.834Z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