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2024-11-27</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paper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w:t>
      </w:r>
      <w:r>
        <w:t xml:space="preserve"> </w:t>
      </w:r>
      <w:r>
        <w:rPr>
          <w:b/>
          <w:bCs/>
        </w:rPr>
        <w:t xml:space="preserve">Aggregated data</w:t>
      </w:r>
      <w:r>
        <w:t xml:space="preserve"> </w:t>
      </w:r>
      <w:r>
        <w:t xml:space="preserve">from the universe survey (short questionnaire) provide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w:t>
      </w:r>
      <w:r>
        <w:t xml:space="preserve"> </w:t>
      </w:r>
      <w:r>
        <w:rPr>
          <w:b/>
          <w:bCs/>
        </w:rPr>
        <w:t xml:space="preserve">Census tracts</w:t>
      </w:r>
      <w:r>
        <w:t xml:space="preserve"> </w:t>
      </w:r>
      <w:r>
        <w:t xml:space="preserve">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 Individual-level data from the universe survey is not publicly available due to privacy concerns.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drawing>
          <wp:inline>
            <wp:extent cx="4620126" cy="3696101"/>
            <wp:effectExtent b="0" l="0" r="0" t="0"/>
            <wp:docPr descr="" title="" id="22" name="Picture"/>
            <a:graphic>
              <a:graphicData uri="http://schemas.openxmlformats.org/drawingml/2006/picture">
                <pic:pic>
                  <pic:nvPicPr>
                    <pic:cNvPr descr="E:\Dropbox\Artigos\1%20-%20Em%20faccao\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microdata version available in</w:t>
      </w:r>
      <w:r>
        <w:t xml:space="preserve"> </w:t>
      </w:r>
      <w:r>
        <w:rPr>
          <w:rStyle w:val="VerbatimChar"/>
        </w:rPr>
        <w:t xml:space="preserve">{censobr}</w:t>
      </w:r>
      <w:r>
        <w:t xml:space="preserve"> </w:t>
      </w:r>
      <w:r>
        <w:t xml:space="preserve">represents a combination of two distinct datasets drawn from the 1960 population census. 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E:\Dropbox\Artigos\1%20-%20Em%20faccao\censobr_paper_2025\paper_pdf\censobr_shortPaper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"Household Access to Sanitation in Brazil by region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Dropbox\Artigos\1%20-%20Em%20faccao\censobr_paper_2025\paper_pdf\censobr_shortPaper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 survey design object.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BodyText"/>
      </w:pPr>
      <w:r>
        <w:t xml:space="preserve">By using a simple dplyr-like syntax, we can produce a contingency table with the correct confidence intervals.</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forms of Water Supply (1960)"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"Guababana (Rio de Janeiro City) and Rio de Janeiro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E:\Dropbox\Artigos\1%20-%20Em%20faccao\censobr_paper_2025\paper_pdf\censobr_shortPaper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simplify understanding of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w:t>
      </w:r>
      <w:r>
        <w:t xml:space="preserve">Basico</w:t>
      </w:r>
      <w:r>
        <w:t xml:space="preserve">”</w:t>
      </w:r>
      <w:r>
        <w:t xml:space="preserve"> </w:t>
      </w:r>
      <w:r>
        <w:t xml:space="preserve">(Basic Variables)</w:t>
      </w:r>
    </w:p>
    <w:p>
      <w:pPr>
        <w:pStyle w:val="Compact"/>
        <w:numPr>
          <w:ilvl w:val="0"/>
          <w:numId w:val="1002"/>
        </w:numPr>
      </w:pPr>
      <w:r>
        <w:t xml:space="preserve">“</w:t>
      </w:r>
      <w:r>
        <w:t xml:space="preserve">Entorno</w:t>
      </w:r>
      <w:r>
        <w:t xml:space="preserve">”</w:t>
      </w:r>
      <w:r>
        <w:t xml:space="preserve"> </w:t>
      </w:r>
      <w:r>
        <w:t xml:space="preserve">(Household surroundings/neighborhood)</w:t>
      </w:r>
    </w:p>
    <w:p>
      <w:pPr>
        <w:pStyle w:val="Compact"/>
        <w:numPr>
          <w:ilvl w:val="0"/>
          <w:numId w:val="1002"/>
        </w:numPr>
      </w:pPr>
      <w:r>
        <w:t xml:space="preserve">“</w:t>
      </w:r>
      <w:r>
        <w:t xml:space="preserve">Domicilio</w:t>
      </w:r>
      <w:r>
        <w:t xml:space="preserve">”</w:t>
      </w:r>
      <w:r>
        <w:t xml:space="preserve"> </w:t>
      </w:r>
      <w:r>
        <w:t xml:space="preserve">(Aggregated household information)</w:t>
      </w:r>
    </w:p>
    <w:p>
      <w:pPr>
        <w:pStyle w:val="Compact"/>
        <w:numPr>
          <w:ilvl w:val="0"/>
          <w:numId w:val="1002"/>
        </w:numPr>
      </w:pPr>
      <w:r>
        <w:t xml:space="preserve">“</w:t>
      </w:r>
      <w:r>
        <w:t xml:space="preserve">Pessoa</w:t>
      </w:r>
      <w:r>
        <w:t xml:space="preserve">”</w:t>
      </w:r>
      <w:r>
        <w:t xml:space="preserve"> </w:t>
      </w:r>
      <w:r>
        <w:t xml:space="preserve">(Aggregated persons information)</w:t>
      </w:r>
    </w:p>
    <w:p>
      <w:pPr>
        <w:pStyle w:val="Compact"/>
        <w:numPr>
          <w:ilvl w:val="0"/>
          <w:numId w:val="1002"/>
        </w:numPr>
      </w:pPr>
      <w:r>
        <w:t xml:space="preserve">“</w:t>
      </w:r>
      <w:r>
        <w:t xml:space="preserve">Responsavel</w:t>
      </w:r>
      <w:r>
        <w:t xml:space="preserve">”</w:t>
      </w:r>
      <w:r>
        <w:t xml:space="preserve"> </w:t>
      </w:r>
      <w:r>
        <w:t xml:space="preserve">(Aggregated information on the household heads)</w:t>
      </w:r>
    </w:p>
    <w:p>
      <w:pPr>
        <w:pStyle w:val="Compact"/>
        <w:numPr>
          <w:ilvl w:val="0"/>
          <w:numId w:val="1002"/>
        </w:numPr>
      </w:pPr>
      <w:r>
        <w:t xml:space="preserve">“</w:t>
      </w:r>
      <w:r>
        <w:t xml:space="preserve">PessoaRenda</w:t>
      </w:r>
      <w:r>
        <w:t xml:space="preserve">”</w:t>
      </w:r>
      <w:r>
        <w:t xml:space="preserve"> </w:t>
      </w:r>
      <w:r>
        <w:t xml:space="preserve">(Aggregated information on persons’ income)</w:t>
      </w:r>
    </w:p>
    <w:p>
      <w:pPr>
        <w:pStyle w:val="Compact"/>
        <w:numPr>
          <w:ilvl w:val="0"/>
          <w:numId w:val="1002"/>
        </w:numPr>
      </w:pPr>
      <w:r>
        <w:t xml:space="preserve">“</w:t>
      </w:r>
      <w:r>
        <w:t xml:space="preserve">DomicilioRenda</w:t>
      </w:r>
      <w:r>
        <w:t xml:space="preserve">”</w:t>
      </w:r>
      <w:r>
        <w:t xml:space="preserve"> </w:t>
      </w:r>
      <w:r>
        <w:t xml:space="preserve">(Aggregated information on households’ income)</w:t>
      </w:r>
    </w:p>
    <w:p>
      <w:pPr>
        <w:pStyle w:val="Compact"/>
        <w:numPr>
          <w:ilvl w:val="0"/>
          <w:numId w:val="1002"/>
        </w:numPr>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p>
      <w:pPr>
        <w:pStyle w:val="FirstParagraph"/>
      </w:pPr>
      <w:r>
        <w:t xml:space="preserve">This organization of data aggregated by census tracts may seem confusing at first glance—and it is. However, it becomes clearer with some practical examples.</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 Capita Income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'Sao Paulo, 2010'</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E:\Dropbox\Artigos\1%20-%20Em%20faccao\censobr_paper_2025\paper_pdf\censobr_shortPaper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Density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'Belo Horizonte, 2022'</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E:\Dropbox\Artigos\1%20-%20Em%20faccao\censobr_paper_2025\paper_pdf\censobr_shortPaper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paper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67" w:name="references"/>
    <w:p>
      <w:pPr>
        <w:pStyle w:val="Heading2"/>
      </w:pPr>
      <w:r>
        <w:t xml:space="preserve">References</w:t>
      </w:r>
    </w:p>
    <w:bookmarkStart w:id="66"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59"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59"/>
    <w:bookmarkStart w:id="61"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0">
        <w:r>
          <w:rPr>
            <w:rStyle w:val="Hyperlink"/>
          </w:rPr>
          <w:t xml:space="preserve">https://biblioteca.ibge.gov.br/index.php/biblioteca-catalogo?view=detalhes&amp;id=221431</w:t>
        </w:r>
      </w:hyperlink>
      <w:r>
        <w:t xml:space="preserve">.</w:t>
      </w:r>
    </w:p>
    <w:bookmarkEnd w:id="61"/>
    <w:bookmarkStart w:id="63"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2">
        <w:r>
          <w:rPr>
            <w:rStyle w:val="Hyperlink"/>
          </w:rPr>
          <w:t xml:space="preserve">https://ftp.ibge.gov.br/Censos/Censo_Demografico_2010/metodologia/metodologia_censo_dem_2010.pdf</w:t>
        </w:r>
      </w:hyperlink>
      <w:r>
        <w:t xml:space="preserve">.</w:t>
      </w:r>
    </w:p>
    <w:bookmarkEnd w:id="63"/>
    <w:bookmarkStart w:id="65"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4">
        <w:r>
          <w:rPr>
            <w:rStyle w:val="Hyperlink"/>
          </w:rPr>
          <w:t xml:space="preserve">https://doi.org/10.32614/CRAN.package.geobr</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0" Target="https://biblioteca.ibge.gov.br/index.php/biblioteca-catalogo?view=detalhes&amp;id=221431" TargetMode="External" /><Relationship Type="http://schemas.openxmlformats.org/officeDocument/2006/relationships/hyperlink" Id="rId64" Target="https://doi.org/10.32614/CRAN.package.geobr" TargetMode="External" /><Relationship Type="http://schemas.openxmlformats.org/officeDocument/2006/relationships/hyperlink" Id="rId62"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_rels/footnotes.xml.rels><?xml version="1.0" encoding="UTF-8"?><Relationships xmlns="http://schemas.openxmlformats.org/package/2006/relationships"><Relationship Type="http://schemas.openxmlformats.org/officeDocument/2006/relationships/hyperlink" Id="rId60" Target="https://biblioteca.ibge.gov.br/index.php/biblioteca-catalogo?view=detalhes&amp;id=221431" TargetMode="External" /><Relationship Type="http://schemas.openxmlformats.org/officeDocument/2006/relationships/hyperlink" Id="rId64" Target="https://doi.org/10.32614/CRAN.package.geobr" TargetMode="External" /><Relationship Type="http://schemas.openxmlformats.org/officeDocument/2006/relationships/hyperlink" Id="rId62"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2024-11-27T14:30:24Z</dcterms:created>
  <dcterms:modified xsi:type="dcterms:W3CDTF">2024-11-27T14:30:24Z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2024-11-27</vt:lpwstr>
  </property>
  <property fmtid="{D5CDD505-2E9C-101B-9397-08002B2CF9AE}" pid="4" name="output">
    <vt:lpwstr/>
  </property>
</Properties>
</file>