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2025-02-11</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p>
      <w:pPr>
        <w:pStyle w:val="BodyText"/>
      </w:pPr>
      <w:r>
        <w:t xml:space="preserve">There are packages with the same purpose of reading census data from some other countries. This is the case for packages such as</w:t>
      </w:r>
      <w:r>
        <w:t xml:space="preserve"> </w:t>
      </w:r>
      <w:r>
        <w:rPr>
          <w:rStyle w:val="VerbatimChar"/>
        </w:rPr>
        <w:t xml:space="preserve">{tidycensus}</w:t>
      </w:r>
      <w:r>
        <w:t xml:space="preserve"> </w:t>
      </w:r>
      <w:r>
        <w:t xml:space="preserve">for the United States</w:t>
      </w:r>
      <w:r>
        <w:t xml:space="preserve"> </w:t>
      </w:r>
      <w:r>
        <w:t xml:space="preserve">(Walker and Herman 2025)</w:t>
      </w:r>
      <w:r>
        <w:t xml:space="preserve"> </w:t>
      </w:r>
      <w:r>
        <w:t xml:space="preserve">and</w:t>
      </w:r>
      <w:r>
        <w:t xml:space="preserve"> </w:t>
      </w:r>
      <w:r>
        <w:rPr>
          <w:rStyle w:val="VerbatimChar"/>
        </w:rPr>
        <w:t xml:space="preserve">{cancensus}</w:t>
      </w:r>
      <w:r>
        <w:t xml:space="preserve"> </w:t>
      </w:r>
      <w:r>
        <w:t xml:space="preserve">for Canada</w:t>
      </w:r>
      <w:r>
        <w:t xml:space="preserve"> </w:t>
      </w:r>
      <w:r>
        <w:t xml:space="preserve">(von Bergmann, Shkolnik, and Jacobs 2021)</w:t>
      </w:r>
      <w:r>
        <w:t xml:space="preserve">. These packages, however, are designed to access census data provided directly by official agencies through APIs. In contexts where data is not made available via official APIs from the data-producing agencies and where datasets are very large, as is the case in Brazil, the architecture used in organizing the {censobr} package can serve as a promising framework for handling census and as well as other large datasets in other countries.</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Cs/>
          <w:b/>
        </w:rPr>
        <w:t xml:space="preserve">universe survey</w:t>
      </w:r>
      <w:r>
        <w:t xml:space="preserve"> </w:t>
      </w:r>
      <w:r>
        <w:t xml:space="preserve">and the</w:t>
      </w:r>
      <w:r>
        <w:t xml:space="preserve"> </w:t>
      </w:r>
      <w:r>
        <w:rPr>
          <w:bCs/>
          <w:b/>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 The data from the universe survey (short questionnaire) is only available in</w:t>
      </w:r>
      <w:r>
        <w:t xml:space="preserve"> </w:t>
      </w:r>
      <w:r>
        <w:rPr>
          <w:bCs/>
          <w:b/>
        </w:rPr>
        <w:t xml:space="preserve">aggregated format</w:t>
      </w:r>
      <w:r>
        <w:t xml:space="preserve">, providing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 Census tracts 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w:t>
      </w:r>
    </w:p>
    <w:p>
      <w:pPr>
        <w:pStyle w:val="BodyText"/>
      </w:pPr>
      <w:r>
        <w:t xml:space="preserve">Meanwhile, the</w:t>
      </w:r>
      <w:r>
        <w:t xml:space="preserve"> </w:t>
      </w:r>
      <w:r>
        <w:rPr>
          <w:bCs/>
          <w:b/>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Cs/>
          <w:b/>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t xml:space="preserve">Figure 1. Hierarchical spatial organization of Brazilian Census data.</w:t>
      </w:r>
    </w:p>
    <w:p>
      <w:pPr>
        <w:pStyle w:val="BodyText"/>
      </w:pPr>
      <w:r>
        <w:drawing>
          <wp:inline>
            <wp:extent cx="4587290" cy="3669832"/>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Cs/>
          <w:b/>
        </w:rPr>
        <w:t xml:space="preserve">Table 1. Core data functions in the {censobr} package.</w:t>
      </w:r>
    </w:p>
    <w:tbl>
      <w:tblPr>
        <w:tblStyle w:val="Table"/>
        <w:tblW w:type="pct" w:w="5000"/>
        <w:tblLook w:firstRow="1" w:lastRow="0" w:firstColumn="0" w:lastColumn="0" w:noHBand="0" w:noVBand="0" w:val="0020"/>
        <w:jc w:val="start"/>
      </w:tblPr>
      <w:tblGrid>
        <w:gridCol w:w="2030"/>
        <w:gridCol w:w="4467"/>
        <w:gridCol w:w="1421"/>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Cs/>
                <w:i/>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builds upon previous work by one of the authors, which, until now, had not been publicly available.</w:t>
      </w:r>
      <w:r>
        <w:t xml:space="preserve"> </w:t>
      </w:r>
      <w:r>
        <w:rPr>
          <w:rStyle w:val="VerbatimChar"/>
        </w:rPr>
        <w:t xml:space="preserve">{censobr}</w:t>
      </w:r>
      <w:r>
        <w:t xml:space="preserve"> </w:t>
      </w:r>
      <w:r>
        <w:t xml:space="preserve">thus marks the first time this dataset is accessible to the broader academic community, providing a unique and valuable resource for researchers studying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Cs/>
          <w:b/>
        </w:rPr>
        <w:t xml:space="preserve">Table 2. Documentation functions in the {censobr} package.</w:t>
      </w:r>
    </w:p>
    <w:tbl>
      <w:tblPr>
        <w:tblStyle w:val="Table"/>
        <w:tblW w:type="pct" w:w="5000"/>
        <w:tblLook w:firstRow="1" w:lastRow="0" w:firstColumn="0" w:lastColumn="0" w:noHBand="0" w:noVBand="0" w:val="0020"/>
        <w:jc w:val="start"/>
      </w:tblPr>
      <w:tblGrid>
        <w:gridCol w:w="1680"/>
        <w:gridCol w:w="1760"/>
        <w:gridCol w:w="4480"/>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numPr>
          <w:ilvl w:val="0"/>
          <w:numId w:val="1001"/>
        </w:numPr>
        <w:pStyle w:val="Compact"/>
      </w:pPr>
      <w:r>
        <w:rPr>
          <w:rStyle w:val="VerbatimChar"/>
          <w:bCs/>
          <w:b/>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numPr>
          <w:ilvl w:val="0"/>
          <w:numId w:val="1001"/>
        </w:numPr>
        <w:pStyle w:val="Compact"/>
      </w:pPr>
      <w:r>
        <w:rPr>
          <w:rStyle w:val="VerbatimChar"/>
          <w:bCs/>
          <w:b/>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Cs/>
          <w:b/>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587290" cy="3669832"/>
            <wp:effectExtent b="0" l="0" r="0" t="0"/>
            <wp:docPr descr="" title="" id="35" name="Picture"/>
            <a:graphic>
              <a:graphicData uri="http://schemas.openxmlformats.org/drawingml/2006/picture">
                <pic:pic>
                  <pic:nvPicPr>
                    <pic:cNvPr descr="R:/Dropbox/git/censobr_paper_2025/paper_pdf/censobr_shortPaper_files/figure-docx/unnamed-chunk-13-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BodyText"/>
      </w:pPr>
      <w:r>
        <w:t xml:space="preserve">Figure. Household Access to Sanitation in Brazil by region, 2010.</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39" name="Picture"/>
            <a:graphic>
              <a:graphicData uri="http://schemas.openxmlformats.org/drawingml/2006/picture">
                <pic:pic>
                  <pic:nvPicPr>
                    <pic:cNvPr descr="R:/Dropbox/git/censobr_paper_2025/paper_pdf/censobr_shortPaper_files/figure-docx/unnamed-chunk-16-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BodyText"/>
      </w:pPr>
      <w:r>
        <w:t xml:space="preserve">Figure. Population by forms of Water Supply Guababana (Rio de Janeiro City) and Rio de Janeiro State, 1960.</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587290" cy="3669832"/>
            <wp:effectExtent b="0" l="0" r="0" t="0"/>
            <wp:docPr descr="" title="" id="43" name="Picture"/>
            <a:graphic>
              <a:graphicData uri="http://schemas.openxmlformats.org/drawingml/2006/picture">
                <pic:pic>
                  <pic:nvPicPr>
                    <pic:cNvPr descr="R:/Dropbox/git/censobr_paper_2025/paper_pdf/censobr_shortPaper_files/figure-docx/unnamed-chunk-2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numPr>
          <w:ilvl w:val="0"/>
          <w:numId w:val="1002"/>
        </w:numPr>
        <w:pStyle w:val="Compact"/>
      </w:pPr>
      <w:r>
        <w:t xml:space="preserve">“</w:t>
      </w:r>
      <w:r>
        <w:t xml:space="preserve">Basico</w:t>
      </w:r>
      <w:r>
        <w:t xml:space="preserve">”</w:t>
      </w:r>
      <w:r>
        <w:t xml:space="preserve"> </w:t>
      </w:r>
      <w:r>
        <w:t xml:space="preserve">(Basic Variables)</w:t>
      </w:r>
    </w:p>
    <w:p>
      <w:pPr>
        <w:numPr>
          <w:ilvl w:val="0"/>
          <w:numId w:val="1002"/>
        </w:numPr>
        <w:pStyle w:val="Compact"/>
      </w:pPr>
      <w:r>
        <w:t xml:space="preserve">“</w:t>
      </w:r>
      <w:r>
        <w:t xml:space="preserve">Entorno</w:t>
      </w:r>
      <w:r>
        <w:t xml:space="preserve">”</w:t>
      </w:r>
      <w:r>
        <w:t xml:space="preserve"> </w:t>
      </w:r>
      <w:r>
        <w:t xml:space="preserve">(Household surroundings/neighborhood)</w:t>
      </w:r>
    </w:p>
    <w:p>
      <w:pPr>
        <w:numPr>
          <w:ilvl w:val="0"/>
          <w:numId w:val="1002"/>
        </w:numPr>
        <w:pStyle w:val="Compact"/>
      </w:pPr>
      <w:r>
        <w:t xml:space="preserve">“</w:t>
      </w:r>
      <w:r>
        <w:t xml:space="preserve">Domicilio</w:t>
      </w:r>
      <w:r>
        <w:t xml:space="preserve">”</w:t>
      </w:r>
      <w:r>
        <w:t xml:space="preserve"> </w:t>
      </w:r>
      <w:r>
        <w:t xml:space="preserve">(Aggregated household information)</w:t>
      </w:r>
    </w:p>
    <w:p>
      <w:pPr>
        <w:numPr>
          <w:ilvl w:val="0"/>
          <w:numId w:val="1002"/>
        </w:numPr>
        <w:pStyle w:val="Compact"/>
      </w:pPr>
      <w:r>
        <w:t xml:space="preserve">“</w:t>
      </w:r>
      <w:r>
        <w:t xml:space="preserve">Pessoa</w:t>
      </w:r>
      <w:r>
        <w:t xml:space="preserve">”</w:t>
      </w:r>
      <w:r>
        <w:t xml:space="preserve"> </w:t>
      </w:r>
      <w:r>
        <w:t xml:space="preserve">(Aggregated persons information)</w:t>
      </w:r>
    </w:p>
    <w:p>
      <w:pPr>
        <w:numPr>
          <w:ilvl w:val="0"/>
          <w:numId w:val="1002"/>
        </w:numPr>
        <w:pStyle w:val="Compact"/>
      </w:pPr>
      <w:r>
        <w:t xml:space="preserve">“</w:t>
      </w:r>
      <w:r>
        <w:t xml:space="preserve">Responsavel</w:t>
      </w:r>
      <w:r>
        <w:t xml:space="preserve">”</w:t>
      </w:r>
      <w:r>
        <w:t xml:space="preserve"> </w:t>
      </w:r>
      <w:r>
        <w:t xml:space="preserve">(Aggregated information on the household heads)</w:t>
      </w:r>
    </w:p>
    <w:p>
      <w:pPr>
        <w:numPr>
          <w:ilvl w:val="0"/>
          <w:numId w:val="1002"/>
        </w:numPr>
        <w:pStyle w:val="Compact"/>
      </w:pPr>
      <w:r>
        <w:t xml:space="preserve">“</w:t>
      </w:r>
      <w:r>
        <w:t xml:space="preserve">PessoaRenda</w:t>
      </w:r>
      <w:r>
        <w:t xml:space="preserve">”</w:t>
      </w:r>
      <w:r>
        <w:t xml:space="preserve"> </w:t>
      </w:r>
      <w:r>
        <w:t xml:space="preserve">(Aggregated information on persons’ income)</w:t>
      </w:r>
    </w:p>
    <w:p>
      <w:pPr>
        <w:numPr>
          <w:ilvl w:val="0"/>
          <w:numId w:val="1002"/>
        </w:numPr>
        <w:pStyle w:val="Compact"/>
      </w:pPr>
      <w:r>
        <w:t xml:space="preserve">“</w:t>
      </w:r>
      <w:r>
        <w:t xml:space="preserve">DomicilioRenda</w:t>
      </w:r>
      <w:r>
        <w:t xml:space="preserve">”</w:t>
      </w:r>
      <w:r>
        <w:t xml:space="preserve"> </w:t>
      </w:r>
      <w:r>
        <w:t xml:space="preserve">(Aggregated information on households’ income)</w:t>
      </w:r>
    </w:p>
    <w:p>
      <w:pPr>
        <w:numPr>
          <w:ilvl w:val="0"/>
          <w:numId w:val="1002"/>
        </w:numPr>
        <w:pStyle w:val="Compact"/>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BodyText"/>
      </w:pPr>
      <w:r>
        <w:t xml:space="preserve">Figure. Per Capita Income by Census Tract. Sao Paulo, 2010.</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R:/Dropbox/git/censobr_paper_2025/paper_pdf/censobr_shortPaper_files/figure-docx/unnamed-chunk-25-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BodyText"/>
      </w:pPr>
      <w:r>
        <w:t xml:space="preserve">Figure. Population Density by Census Tract. Belo Horizonte, 2022.</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51" name="Picture"/>
            <a:graphic>
              <a:graphicData uri="http://schemas.openxmlformats.org/drawingml/2006/picture">
                <pic:pic>
                  <pic:nvPicPr>
                    <pic:cNvPr descr="R:/Dropbox/git/censobr_paper_2025/paper_pdf/censobr_shortPaper_files/figure-docx/unnamed-chunk-28-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Cs/>
          <w:b/>
        </w:rPr>
        <w:t xml:space="preserve">Table 3. Support functions for managing {censobr} files.</w:t>
      </w:r>
    </w:p>
    <w:tbl>
      <w:tblPr>
        <w:tblStyle w:val="Table"/>
        <w:tblW w:type="pct" w:w="5000"/>
        <w:tblLook w:firstRow="1" w:lastRow="0" w:firstColumn="0" w:lastColumn="0" w:noHBand="0" w:noVBand="0" w:val="0020"/>
        <w:jc w:val="start"/>
      </w:tblPr>
      <w:tblGrid>
        <w:gridCol w:w="2640"/>
        <w:gridCol w:w="5280"/>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5" w:name="references"/>
    <w:p>
      <w:pPr>
        <w:pStyle w:val="Heading2"/>
      </w:pPr>
      <w:r>
        <w:t xml:space="preserve">References</w:t>
      </w:r>
    </w:p>
    <w:bookmarkStart w:id="74"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Cs/>
          <w:i/>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Cs/>
          <w:i/>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Cs/>
          <w:i/>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Cs/>
          <w:i/>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Cs/>
          <w:i/>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Cs/>
          <w:i/>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Start w:id="71" w:name="ref-vonBergmann2021cancensus"/>
    <w:p>
      <w:pPr>
        <w:pStyle w:val="Bibliography"/>
      </w:pPr>
      <w:r>
        <w:t xml:space="preserve">von Bergmann, Jens, Dmitry Shkolnik, and Aaron Jacobs. 2021.</w:t>
      </w:r>
      <w:r>
        <w:t xml:space="preserve"> </w:t>
      </w:r>
      <w:r>
        <w:rPr>
          <w:iCs/>
          <w:i/>
        </w:rPr>
        <w:t xml:space="preserve">Cancensus: R Package to Access, Retrieve, and Work with Canadian Census Data and Geography</w:t>
      </w:r>
      <w:r>
        <w:t xml:space="preserve">.</w:t>
      </w:r>
      <w:r>
        <w:t xml:space="preserve"> </w:t>
      </w:r>
      <w:hyperlink r:id="rId70">
        <w:r>
          <w:rPr>
            <w:rStyle w:val="Hyperlink"/>
          </w:rPr>
          <w:t xml:space="preserve">https://mountainmath.github.io/cancensus/</w:t>
        </w:r>
      </w:hyperlink>
      <w:r>
        <w:t xml:space="preserve">.</w:t>
      </w:r>
    </w:p>
    <w:bookmarkEnd w:id="71"/>
    <w:bookmarkStart w:id="73" w:name="ref-walker2025tidycensus"/>
    <w:p>
      <w:pPr>
        <w:pStyle w:val="Bibliography"/>
      </w:pPr>
      <w:r>
        <w:t xml:space="preserve">Walker, Kyle, and Matt Herman. 2025.</w:t>
      </w:r>
      <w:r>
        <w:t xml:space="preserve"> </w:t>
      </w:r>
      <w:r>
        <w:rPr>
          <w:iCs/>
          <w:i/>
        </w:rPr>
        <w:t xml:space="preserve">Tidycensus: Load US Census Boundary and Attribute Data as ’Tidyverse’ and ’Sf’-Ready Data Frames</w:t>
      </w:r>
      <w:r>
        <w:t xml:space="preserve">.</w:t>
      </w:r>
      <w:r>
        <w:t xml:space="preserve"> </w:t>
      </w:r>
      <w:hyperlink r:id="rId72">
        <w:r>
          <w:rPr>
            <w:rStyle w:val="Hyperlink"/>
          </w:rPr>
          <w:t xml:space="preserve">https://walker-data.com/tidycensus/</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2025-02-11T04:02:23Z</dcterms:created>
  <dcterms:modified xsi:type="dcterms:W3CDTF">2025-02-11T04:02:23Z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2025-02-11</vt:lpwstr>
  </property>
  <property fmtid="{D5CDD505-2E9C-101B-9397-08002B2CF9AE}" pid="4" name="output">
    <vt:lpwstr/>
  </property>
</Properties>
</file>