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2024-11-26</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 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environment.</w:t>
      </w:r>
    </w:p>
    <w:p>
      <w:pPr>
        <w:pStyle w:val="BodyText"/>
      </w:pPr>
      <w:r>
        <w:t xml:space="preserve">This paper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initiatives worldwide.</w:t>
      </w:r>
    </w:p>
    <w:p>
      <w:pPr>
        <w:pStyle w:val="BodyText"/>
      </w:pPr>
      <w:r>
        <w:t xml:space="preserve">Since 1960, each Brazilian census is divided into two main components: the</w:t>
      </w:r>
      <w:r>
        <w:t xml:space="preserve"> </w:t>
      </w:r>
      <w:r>
        <w:rPr>
          <w:b/>
          <w:bCs/>
        </w:rPr>
        <w:t xml:space="preserve">universe survey</w:t>
      </w:r>
      <w:r>
        <w:t xml:space="preserve"> </w:t>
      </w:r>
      <w:r>
        <w:t xml:space="preserve">and the</w:t>
      </w:r>
      <w:r>
        <w:t xml:space="preserve"> </w:t>
      </w:r>
      <w:r>
        <w:rPr>
          <w:b/>
          <w:bCs/>
        </w:rPr>
        <w:t xml:space="preserve">sample survey</w:t>
      </w:r>
      <w:r>
        <w:t xml:space="preserve"> </w:t>
      </w:r>
      <w:r>
        <w:t xml:space="preserve">(similar to what was previously done in the United States and the UK,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w:t>
      </w:r>
      <w:r>
        <w:t xml:space="preserve"> </w:t>
      </w:r>
      <w:r>
        <w:rPr>
          <w:b/>
          <w:bCs/>
        </w:rPr>
        <w:t xml:space="preserve">Aggregated data</w:t>
      </w:r>
      <w:r>
        <w:t xml:space="preserve"> </w:t>
      </w:r>
      <w:r>
        <w:t xml:space="preserve">from the universe survey (short questionnaire) provide summary statistics (counts, proportions, and means) computed at the census tract level. This data 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w:t>
      </w:r>
      <w:r>
        <w:t xml:space="preserve"> </w:t>
      </w:r>
      <w:r>
        <w:rPr>
          <w:b/>
          <w:bCs/>
        </w:rPr>
        <w:t xml:space="preserve">Census tracts</w:t>
      </w:r>
      <w:r>
        <w:t xml:space="preserve"> </w:t>
      </w:r>
      <w:r>
        <w:t xml:space="preserve">are the smallest geographic unit in the censuses. They are contiguous areas typically containing about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 Individual-level data from the universe survey is not publicly available due to privacy concerns.</w:t>
      </w:r>
    </w:p>
    <w:p>
      <w:pPr>
        <w:pStyle w:val="BodyText"/>
      </w:pPr>
      <w:r>
        <w:t xml:space="preserve">Meanwhile, the</w:t>
      </w:r>
      <w:r>
        <w:t xml:space="preserve"> </w:t>
      </w:r>
      <w:r>
        <w:rPr>
          <w:b/>
          <w:bCs/>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
          <w:bCs/>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drawing>
          <wp:inline>
            <wp:extent cx="4620126" cy="3696101"/>
            <wp:effectExtent b="0" l="0" r="0" t="0"/>
            <wp:docPr descr="" title="" id="22" name="Picture"/>
            <a:graphic>
              <a:graphicData uri="http://schemas.openxmlformats.org/drawingml/2006/picture">
                <pic:pic>
                  <pic:nvPicPr>
                    <pic:cNvPr descr="E:\Dropbox\Artigos\1%20-%20Em%20faccao\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illustrates the spatial resolution hierarchy of the Brazilian Demographic Census,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
          <w:bCs/>
        </w:rPr>
        <w:t xml:space="preserve">Table 1. Core data functions in the {censobr} package.</w:t>
      </w:r>
    </w:p>
    <w:tbl>
      <w:tblPr>
        <w:tblStyle w:val="Table"/>
        <w:tblW w:type="pct" w:w="5000"/>
        <w:tblLayout w:type="fixed"/>
        <w:tblLook w:firstRow="1" w:lastRow="0" w:firstColumn="0" w:lastColumn="0" w:noHBand="0" w:noVBand="0" w:val="0020"/>
      </w:tblPr>
      <w:tblGrid>
        <w:gridCol w:w="2030"/>
        <w:gridCol w:w="4467"/>
        <w:gridCol w:w="1421"/>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
                <w:iCs/>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 sets available through</w:t>
      </w:r>
      <w:r>
        <w:t xml:space="preserve"> </w:t>
      </w:r>
      <w:r>
        <w:rPr>
          <w:rStyle w:val="VerbatimChar"/>
        </w:rPr>
        <w:t xml:space="preserve">{censobr}</w:t>
      </w:r>
      <w:r>
        <w:t xml:space="preserve"> </w:t>
      </w:r>
      <w:r>
        <w:t xml:space="preserve">are identical to data published by IBGE, the only difference being that the data 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microdata version available in</w:t>
      </w:r>
      <w:r>
        <w:t xml:space="preserve"> </w:t>
      </w:r>
      <w:r>
        <w:rPr>
          <w:rStyle w:val="VerbatimChar"/>
        </w:rPr>
        <w:t xml:space="preserve">{censobr}</w:t>
      </w:r>
      <w:r>
        <w:t xml:space="preserve"> </w:t>
      </w:r>
      <w:r>
        <w:t xml:space="preserve">represents a combination of two distinct datasets drawn from the 1960 population census. 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
          <w:bCs/>
        </w:rPr>
        <w:t xml:space="preserve">Table 2. Documentation functions in the {censobr} package.</w:t>
      </w:r>
    </w:p>
    <w:tbl>
      <w:tblPr>
        <w:tblStyle w:val="Table"/>
        <w:tblW w:type="pct" w:w="5000"/>
        <w:tblLayout w:type="fixed"/>
        <w:tblLook w:firstRow="1" w:lastRow="0" w:firstColumn="0" w:lastColumn="0" w:noHBand="0" w:noVBand="0" w:val="0020"/>
      </w:tblPr>
      <w:tblGrid>
        <w:gridCol w:w="1680"/>
        <w:gridCol w:w="1760"/>
        <w:gridCol w:w="4480"/>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a6ab0ee6173dd21fd0871a4540092942365816b"/>
    <w:p>
      <w:pPr>
        <w:pStyle w:val="Heading3"/>
      </w:pPr>
      <w:r>
        <w:t xml:space="preserve">5.1. In-disk Data wrangling with</w:t>
      </w:r>
      <w:r>
        <w:t xml:space="preserve"> </w:t>
      </w:r>
      <w:r>
        <w:rPr>
          <w:rStyle w:val="VerbatimChar"/>
        </w:rPr>
        <w:t xml:space="preserve">{arrow}</w:t>
      </w:r>
      <w:r>
        <w:t xml:space="preserve"> </w:t>
      </w:r>
      <w:r>
        <w:t xml:space="preserve">and working with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pStyle w:val="Compact"/>
        <w:numPr>
          <w:ilvl w:val="0"/>
          <w:numId w:val="1001"/>
        </w:numPr>
      </w:pPr>
      <w:r>
        <w:rPr>
          <w:rStyle w:val="VerbatimChar"/>
          <w:b/>
          <w:bCs/>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pStyle w:val="Compact"/>
        <w:numPr>
          <w:ilvl w:val="0"/>
          <w:numId w:val="1001"/>
        </w:numPr>
      </w:pPr>
      <w:r>
        <w:rPr>
          <w:rStyle w:val="VerbatimChar"/>
          <w:b/>
          <w:bCs/>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
          <w:bCs/>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"#ffcb69"</w:t>
      </w:r>
      <w:r>
        <w:rPr>
          <w:rStyle w:val="NormalTok"/>
        </w:rPr>
        <w:t xml:space="preserve">,</w:t>
      </w:r>
      <w:r>
        <w:rPr>
          <w:rStyle w:val="StringTok"/>
        </w:rPr>
        <w:t xml:space="preserve">"#437297"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"População (em milhares)"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E:\Dropbox\Artigos\1%20-%20Em%20faccao\censobr_paper_2025\paper_pdf\censobr_shortPaper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"Northest"</w:t>
      </w:r>
      <w:r>
        <w:rPr>
          <w:rStyle w:val="NormalTok"/>
        </w:rPr>
        <w:t xml:space="preserve">, </w:t>
      </w:r>
      <w:r>
        <w:rPr>
          <w:rStyle w:val="StringTok"/>
        </w:rPr>
        <w:t xml:space="preserve">"Southest"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"Household Access to Sanitation in Brazil by region (2010)"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Households (in thousands)"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Dropbox\Artigos\1%20-%20Em%20faccao\censobr_paper_2025\paper_pdf\censobr_shortPaper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 survey design object.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BodyText"/>
      </w:pPr>
      <w:r>
        <w:t xml:space="preserve">By using a simple dplyr-like syntax, we can produce a contingency table with the correct confidence intervals.</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forms of Water Supply (1960)"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"Guababana (Rio de Janeiro City) and Rio de Janeiro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E:\Dropbox\Artigos\1%20-%20Em%20faccao\censobr_paper_2025\paper_pdf\censobr_shortPaper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simplify understanding of these data,</w:t>
      </w:r>
      <w:r>
        <w:t xml:space="preserve"> </w:t>
      </w:r>
      <w:r>
        <w:rPr>
          <w:rStyle w:val="VerbatimChar"/>
        </w:rPr>
        <w:t xml:space="preserve">{censobr}</w:t>
      </w:r>
      <w:r>
        <w:t xml:space="preserve"> </w:t>
      </w:r>
      <w:r>
        <w:t xml:space="preserve">consolidates all files/variables into different tables:</w:t>
      </w:r>
    </w:p>
    <w:p>
      <w:pPr>
        <w:pStyle w:val="Compact"/>
        <w:numPr>
          <w:ilvl w:val="0"/>
          <w:numId w:val="1002"/>
        </w:numPr>
      </w:pPr>
      <w:r>
        <w:t xml:space="preserve">“</w:t>
      </w:r>
      <w:r>
        <w:t xml:space="preserve">Basico</w:t>
      </w:r>
      <w:r>
        <w:t xml:space="preserve">”</w:t>
      </w:r>
      <w:r>
        <w:t xml:space="preserve"> </w:t>
      </w:r>
      <w:r>
        <w:t xml:space="preserve">(Basic Variables)</w:t>
      </w:r>
    </w:p>
    <w:p>
      <w:pPr>
        <w:pStyle w:val="Compact"/>
        <w:numPr>
          <w:ilvl w:val="0"/>
          <w:numId w:val="1002"/>
        </w:numPr>
      </w:pPr>
      <w:r>
        <w:t xml:space="preserve">“</w:t>
      </w:r>
      <w:r>
        <w:t xml:space="preserve">Entorno</w:t>
      </w:r>
      <w:r>
        <w:t xml:space="preserve">”</w:t>
      </w:r>
      <w:r>
        <w:t xml:space="preserve"> </w:t>
      </w:r>
      <w:r>
        <w:t xml:space="preserve">(Household surroundings/neighborhood)</w:t>
      </w:r>
    </w:p>
    <w:p>
      <w:pPr>
        <w:pStyle w:val="Compact"/>
        <w:numPr>
          <w:ilvl w:val="0"/>
          <w:numId w:val="1002"/>
        </w:numPr>
      </w:pPr>
      <w:r>
        <w:t xml:space="preserve">“</w:t>
      </w:r>
      <w:r>
        <w:t xml:space="preserve">Domicilio</w:t>
      </w:r>
      <w:r>
        <w:t xml:space="preserve">”</w:t>
      </w:r>
      <w:r>
        <w:t xml:space="preserve"> </w:t>
      </w:r>
      <w:r>
        <w:t xml:space="preserve">(Aggregated household information)</w:t>
      </w:r>
    </w:p>
    <w:p>
      <w:pPr>
        <w:pStyle w:val="Compact"/>
        <w:numPr>
          <w:ilvl w:val="0"/>
          <w:numId w:val="1002"/>
        </w:numPr>
      </w:pPr>
      <w:r>
        <w:t xml:space="preserve">“</w:t>
      </w:r>
      <w:r>
        <w:t xml:space="preserve">Pessoa</w:t>
      </w:r>
      <w:r>
        <w:t xml:space="preserve">”</w:t>
      </w:r>
      <w:r>
        <w:t xml:space="preserve"> </w:t>
      </w:r>
      <w:r>
        <w:t xml:space="preserve">(Aggregated persons information)</w:t>
      </w:r>
    </w:p>
    <w:p>
      <w:pPr>
        <w:pStyle w:val="Compact"/>
        <w:numPr>
          <w:ilvl w:val="0"/>
          <w:numId w:val="1002"/>
        </w:numPr>
      </w:pPr>
      <w:r>
        <w:t xml:space="preserve">“</w:t>
      </w:r>
      <w:r>
        <w:t xml:space="preserve">Responsavel</w:t>
      </w:r>
      <w:r>
        <w:t xml:space="preserve">”</w:t>
      </w:r>
      <w:r>
        <w:t xml:space="preserve"> </w:t>
      </w:r>
      <w:r>
        <w:t xml:space="preserve">(Aggregated information on the household heads)</w:t>
      </w:r>
    </w:p>
    <w:p>
      <w:pPr>
        <w:pStyle w:val="Compact"/>
        <w:numPr>
          <w:ilvl w:val="0"/>
          <w:numId w:val="1002"/>
        </w:numPr>
      </w:pPr>
      <w:r>
        <w:t xml:space="preserve">“</w:t>
      </w:r>
      <w:r>
        <w:t xml:space="preserve">PessoaRenda</w:t>
      </w:r>
      <w:r>
        <w:t xml:space="preserve">”</w:t>
      </w:r>
      <w:r>
        <w:t xml:space="preserve"> </w:t>
      </w:r>
      <w:r>
        <w:t xml:space="preserve">(Aggregated information on persons’ income)</w:t>
      </w:r>
    </w:p>
    <w:p>
      <w:pPr>
        <w:pStyle w:val="Compact"/>
        <w:numPr>
          <w:ilvl w:val="0"/>
          <w:numId w:val="1002"/>
        </w:numPr>
      </w:pPr>
      <w:r>
        <w:t xml:space="preserve">“</w:t>
      </w:r>
      <w:r>
        <w:t xml:space="preserve">DomicilioRenda</w:t>
      </w:r>
      <w:r>
        <w:t xml:space="preserve">”</w:t>
      </w:r>
      <w:r>
        <w:t xml:space="preserve"> </w:t>
      </w:r>
      <w:r>
        <w:t xml:space="preserve">(Aggregated information on households’ income)</w:t>
      </w:r>
    </w:p>
    <w:p>
      <w:pPr>
        <w:pStyle w:val="Compact"/>
        <w:numPr>
          <w:ilvl w:val="0"/>
          <w:numId w:val="1002"/>
        </w:numPr>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p>
      <w:pPr>
        <w:pStyle w:val="FirstParagraph"/>
      </w:pPr>
      <w:r>
        <w:t xml:space="preserve">This organization of data aggregated by census tracts may seem confusing at first glance—and it is. However, it becomes clearer with some practical examples.</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 Capita Income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'Sao Paulo, 2010'</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E:\Dropbox\Artigos\1%20-%20Em%20faccao\censobr_paper_2025\paper_pdf\censobr_shortPaper_files/figure-docx/unnamed-chunk-2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Density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'Belo Horizonte, 2022'</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E:\Dropbox\Artigos\1%20-%20Em%20faccao\censobr_paper_2025\paper_pdf\censobr_shortPaper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
          <w:bCs/>
        </w:rPr>
        <w:t xml:space="preserve">Table 3. Support functions for managing {censobr} files.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comprehensive solution for researchers and practitioners seeking to access and analyze Brazilian population census data efficiently.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Our examples aim to demonstrate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censuses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67" w:name="references"/>
    <w:p>
      <w:pPr>
        <w:pStyle w:val="Heading2"/>
      </w:pPr>
      <w:r>
        <w:t xml:space="preserve">References</w:t>
      </w:r>
    </w:p>
    <w:bookmarkStart w:id="66"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
          <w:iCs/>
        </w:rPr>
        <w:t xml:space="preserve">Journal of Housing Economics</w:t>
      </w:r>
      <w:r>
        <w:t xml:space="preserve"> </w:t>
      </w:r>
      <w:r>
        <w:t xml:space="preserve">44: 48–60.</w:t>
      </w:r>
    </w:p>
    <w:bookmarkEnd w:id="58"/>
    <w:bookmarkStart w:id="59"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
          <w:iCs/>
        </w:rPr>
        <w:t xml:space="preserve">Applied Geography</w:t>
      </w:r>
      <w:r>
        <w:t xml:space="preserve"> </w:t>
      </w:r>
      <w:r>
        <w:t xml:space="preserve">140: 102653.</w:t>
      </w:r>
    </w:p>
    <w:bookmarkEnd w:id="59"/>
    <w:bookmarkStart w:id="61" w:name="ref-ibge1990estatisticas"/>
    <w:p>
      <w:pPr>
        <w:pStyle w:val="Bibliography"/>
      </w:pPr>
      <w:r>
        <w:t xml:space="preserve">IBGE. 1990.</w:t>
      </w:r>
      <w:r>
        <w:t xml:space="preserve"> </w:t>
      </w:r>
      <w:r>
        <w:rPr>
          <w:i/>
          <w:iCs/>
        </w:rPr>
        <w:t xml:space="preserve">Estatisticas Historicas Do Brasil : Series Economicas Demograficas e Sociais de 1550 a 1988</w:t>
      </w:r>
      <w:r>
        <w:t xml:space="preserve">. IBGE.</w:t>
      </w:r>
      <w:r>
        <w:t xml:space="preserve"> </w:t>
      </w:r>
      <w:hyperlink r:id="rId60">
        <w:r>
          <w:rPr>
            <w:rStyle w:val="Hyperlink"/>
          </w:rPr>
          <w:t xml:space="preserve">https://biblioteca.ibge.gov.br/index.php/biblioteca-catalogo?view=detalhes&amp;id=221431</w:t>
        </w:r>
      </w:hyperlink>
      <w:r>
        <w:t xml:space="preserve">.</w:t>
      </w:r>
    </w:p>
    <w:bookmarkEnd w:id="61"/>
    <w:bookmarkStart w:id="63" w:name="ref-ibge2013metodologia"/>
    <w:p>
      <w:pPr>
        <w:pStyle w:val="Bibliography"/>
      </w:pPr>
      <w:r>
        <w:t xml:space="preserve">———. 2013.</w:t>
      </w:r>
      <w:r>
        <w:t xml:space="preserve"> </w:t>
      </w:r>
      <w:r>
        <w:rPr>
          <w:i/>
          <w:iCs/>
        </w:rPr>
        <w:t xml:space="preserve">Metodologia Do Censo Demografico 2010</w:t>
      </w:r>
      <w:r>
        <w:t xml:space="preserve">. IBGE.</w:t>
      </w:r>
      <w:r>
        <w:t xml:space="preserve"> </w:t>
      </w:r>
      <w:hyperlink r:id="rId62">
        <w:r>
          <w:rPr>
            <w:rStyle w:val="Hyperlink"/>
          </w:rPr>
          <w:t xml:space="preserve">https://ftp.ibge.gov.br/Censos/Censo_Demografico_2010/metodologia/metodologia_censo_dem_2010.pdf</w:t>
        </w:r>
      </w:hyperlink>
      <w:r>
        <w:t xml:space="preserve">.</w:t>
      </w:r>
    </w:p>
    <w:bookmarkEnd w:id="63"/>
    <w:bookmarkStart w:id="65" w:name="ref-pereira2019geobr"/>
    <w:p>
      <w:pPr>
        <w:pStyle w:val="Bibliography"/>
      </w:pPr>
      <w:r>
        <w:t xml:space="preserve">Pereira, R. H. M., and C. N. Goncalves. 2019.</w:t>
      </w:r>
      <w:r>
        <w:t xml:space="preserve"> </w:t>
      </w:r>
      <w:r>
        <w:rPr>
          <w:i/>
          <w:iCs/>
        </w:rPr>
        <w:t xml:space="preserve">Geobr: Download Official Spatial Data Sets of Brazil</w:t>
      </w:r>
      <w:r>
        <w:t xml:space="preserve">. CRAN.</w:t>
      </w:r>
      <w:r>
        <w:t xml:space="preserve"> </w:t>
      </w:r>
      <w:hyperlink r:id="rId64">
        <w:r>
          <w:rPr>
            <w:rStyle w:val="Hyperlink"/>
          </w:rPr>
          <w:t xml:space="preserve">https://doi.org/10.32614/CRAN.package.geobr</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0" Target="https://biblioteca.ibge.gov.br/index.php/biblioteca-catalogo?view=detalhes&amp;id=221431" TargetMode="External" /><Relationship Type="http://schemas.openxmlformats.org/officeDocument/2006/relationships/hyperlink" Id="rId64" Target="https://doi.org/10.32614/CRAN.package.geobr" TargetMode="External" /><Relationship Type="http://schemas.openxmlformats.org/officeDocument/2006/relationships/hyperlink" Id="rId62"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s>
</file>

<file path=word/_rels/footnotes.xml.rels><?xml version="1.0" encoding="UTF-8"?><Relationships xmlns="http://schemas.openxmlformats.org/package/2006/relationships"><Relationship Type="http://schemas.openxmlformats.org/officeDocument/2006/relationships/hyperlink" Id="rId60" Target="https://biblioteca.ibge.gov.br/index.php/biblioteca-catalogo?view=detalhes&amp;id=221431" TargetMode="External" /><Relationship Type="http://schemas.openxmlformats.org/officeDocument/2006/relationships/hyperlink" Id="rId64" Target="https://doi.org/10.32614/CRAN.package.geobr" TargetMode="External" /><Relationship Type="http://schemas.openxmlformats.org/officeDocument/2006/relationships/hyperlink" Id="rId62"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2024-11-26T10:46:49Z</dcterms:created>
  <dcterms:modified xsi:type="dcterms:W3CDTF">2024-11-26T10:46:49Z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2024-11-26</vt:lpwstr>
  </property>
  <property fmtid="{D5CDD505-2E9C-101B-9397-08002B2CF9AE}" pid="4" name="output">
    <vt:lpwstr/>
  </property>
</Properties>
</file>