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9"/>
          <w:sz w:val="60"/>
        </w:rPr>
        <w:t>Manual de Operación</w:t>
      </w:r>
    </w:p>
    <w:p>
      <w:pPr>
        <w:jc w:val="center"/>
      </w:pPr>
      <w:r>
        <w:rPr>
          <w:b/>
          <w:color w:val="555555"/>
          <w:sz w:val="36"/>
        </w:rPr>
        <w:t>Flujo completo en iErp — Insermed</w:t>
      </w:r>
    </w:p>
    <w:p>
      <w:pPr>
        <w:spacing w:before="800"/>
        <w:jc w:val="center"/>
      </w:pPr>
      <w:r>
        <w:rPr>
          <w:i/>
          <w:sz w:val="26"/>
        </w:rPr>
        <w:t>Guía paso a paso para usuarios</w:t>
      </w:r>
    </w:p>
    <w:p>
      <w:pPr>
        <w:spacing w:before="3600"/>
        <w:jc w:val="center"/>
      </w:pPr>
      <w:r>
        <w:rPr>
          <w:color w:val="555555"/>
          <w:sz w:val="22"/>
        </w:rPr>
        <w:t>Versión 2.0  ·  Junio 2026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spacing w:after="120"/>
      </w:pPr>
      <w:r>
        <w:rPr>
          <w:b w:val="0"/>
          <w:i w:val="0"/>
          <w:sz w:val="22"/>
        </w:rPr>
        <w:t>Este manual describe el flujo operativo completo dentro de iErp para la empresa Insermed: desde que se da de alta un producto, se compra, se recibe en almacén, se vende a un cliente y finalmente se cobra y se factura. Está pensado para que cualquier usuario nuevo pueda seguir el proceso de principio a fin.</w:t>
      </w:r>
    </w:p>
    <w:p>
      <w:pPr>
        <w:spacing w:after="120"/>
      </w:pPr>
      <w:r>
        <w:rPr>
          <w:b w:val="0"/>
          <w:i w:val="0"/>
          <w:sz w:val="22"/>
        </w:rPr>
        <w:t>El sistema es multiempresa: cada usuario ve únicamente las empresas y sucursales que tiene asignadas, y dentro de ellas solo los módulos y pantallas que su administrador le habilitó.</w:t>
      </w:r>
    </w:p>
    <w:p>
      <w:pPr>
        <w:pStyle w:val="Heading2"/>
      </w:pPr>
      <w:r>
        <w:t>Mapa general del flujo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5E3F0"/>
          </w:tcPr>
          <w:p>
            <w:r>
              <w:rPr>
                <w:b/>
              </w:rPr>
              <w:t>Etapa</w:t>
            </w:r>
          </w:p>
        </w:tc>
        <w:tc>
          <w:tcPr>
            <w:tcW w:type="dxa" w:w="4320"/>
            <w:shd w:val="clear" w:fill="D5E3F0"/>
          </w:tcPr>
          <w:p>
            <w:r>
              <w:rPr>
                <w:b/>
              </w:rPr>
              <w:t>Secuencia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Compras</w:t>
            </w:r>
          </w:p>
        </w:tc>
        <w:tc>
          <w:tcPr>
            <w:tcW w:type="dxa" w:w="4320"/>
          </w:tcPr>
          <w:p>
            <w:r>
              <w:t>Orden de compra → Recepción de mercancía → Existencias en almacén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Ventas</w:t>
            </w:r>
          </w:p>
        </w:tc>
        <w:tc>
          <w:tcPr>
            <w:tcW w:type="dxa" w:w="4320"/>
          </w:tcPr>
          <w:p>
            <w:r>
              <w:t>Cotización → Pedido → Entrega de mercancía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Finanzas</w:t>
            </w:r>
          </w:p>
        </w:tc>
        <w:tc>
          <w:tcPr>
            <w:tcW w:type="dxa" w:w="4320"/>
          </w:tcPr>
          <w:p>
            <w:r>
              <w:t>Cuenta por cobrar → Cobro (pago) → Facturación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pStyle w:val="Heading1"/>
      </w:pPr>
      <w:r>
        <w:t>2. Acceso al sistema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Ingresar a la plataforma</w:t>
      </w:r>
    </w:p>
    <w:p>
      <w:pPr>
        <w:spacing w:after="160"/>
        <w:ind w:left="504"/>
      </w:pPr>
      <w:r>
        <w:rPr>
          <w:sz w:val="21"/>
        </w:rPr>
        <w:t>Abre el navegador y entra a la dirección de la empresa (por ejemplo, el subdominio asignado a Insermed). Escribe tu usuario y contraseña.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Primer ingreso</w:t>
      </w:r>
    </w:p>
    <w:p>
      <w:pPr>
        <w:spacing w:after="160"/>
        <w:ind w:left="504"/>
      </w:pPr>
      <w:r>
        <w:rPr>
          <w:sz w:val="21"/>
        </w:rPr>
        <w:t>Si es la primera vez, el sistema te pedirá cambiar tu contraseña. Define una nueva y vuelve a iniciar sesión.</w:t>
      </w:r>
    </w:p>
    <w:p>
      <w:pPr>
        <w:spacing w:after="40"/>
      </w:pPr>
      <w:r>
        <w:rPr>
          <w:b/>
          <w:color w:val="1F4E79"/>
        </w:rPr>
        <w:t xml:space="preserve">Paso 3. </w:t>
      </w:r>
      <w:r>
        <w:rPr>
          <w:b/>
        </w:rPr>
        <w:t>Seleccionar empresa y sucursal</w:t>
      </w:r>
    </w:p>
    <w:p>
      <w:pPr>
        <w:spacing w:after="160"/>
        <w:ind w:left="504"/>
      </w:pPr>
      <w:r>
        <w:rPr>
          <w:sz w:val="21"/>
        </w:rPr>
        <w:t>Si tienes acceso a más de una empresa o sucursal, elígela en la parte superior. Todo lo que captures se guarda en la sucursal activa.</w:t>
      </w:r>
    </w:p>
    <w:p>
      <w:pPr>
        <w:spacing w:after="160"/>
        <w:ind w:left="288"/>
      </w:pPr>
      <w:r>
        <w:rPr>
          <w:b/>
          <w:color w:val="B06A00"/>
        </w:rPr>
        <w:t xml:space="preserve">Nota: </w:t>
      </w:r>
      <w:r>
        <w:rPr>
          <w:i/>
          <w:sz w:val="21"/>
        </w:rPr>
        <w:t>Si no ves un módulo en el menú lateral, es porque no lo tienes habilitado. Pídelo a tu administrador.</w:t>
      </w:r>
    </w:p>
    <w:p>
      <w:pPr>
        <w:pStyle w:val="Heading1"/>
      </w:pPr>
      <w:r>
        <w:t>3. Catálogo de productos</w:t>
      </w:r>
    </w:p>
    <w:p>
      <w:pPr>
        <w:spacing w:after="120"/>
      </w:pPr>
      <w:r>
        <w:rPr>
          <w:b w:val="0"/>
          <w:i w:val="0"/>
          <w:sz w:val="22"/>
        </w:rPr>
        <w:t>Antes de comprar o vender, el producto debe existir en el catálogo. Esto se hace en el módulo de Inventarios → Productos.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Crear el producto</w:t>
      </w:r>
    </w:p>
    <w:p>
      <w:pPr>
        <w:spacing w:after="160"/>
        <w:ind w:left="504"/>
      </w:pPr>
      <w:r>
        <w:rPr>
          <w:sz w:val="21"/>
        </w:rPr>
        <w:t>Captura nombre, SKU, clase y grupo. La clase y el grupo sirven para organizar y filtrar después.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Definir si es inventariable o servicio</w:t>
      </w:r>
    </w:p>
    <w:p>
      <w:pPr>
        <w:spacing w:after="160"/>
        <w:ind w:left="504"/>
      </w:pPr>
      <w:r>
        <w:rPr>
          <w:sz w:val="21"/>
        </w:rPr>
        <w:t>Marca si el producto es un servicio. Los servicios NO requieren recepción en almacén ni manejan existencias.</w:t>
      </w:r>
    </w:p>
    <w:p>
      <w:pPr>
        <w:spacing w:after="40"/>
      </w:pPr>
      <w:r>
        <w:rPr>
          <w:b/>
          <w:color w:val="1F4E79"/>
        </w:rPr>
        <w:t xml:space="preserve">Paso 3. </w:t>
      </w:r>
      <w:r>
        <w:rPr>
          <w:b/>
        </w:rPr>
        <w:t>Asignar el margen</w:t>
      </w:r>
    </w:p>
    <w:p>
      <w:pPr>
        <w:spacing w:after="160"/>
        <w:ind w:left="504"/>
      </w:pPr>
      <w:r>
        <w:rPr>
          <w:sz w:val="21"/>
        </w:rPr>
        <w:t>Cada producto tiene un margen por defecto (15%). El precio de venta se calcula como costo ÷ (1 − margen/100). Puedes ajustarlo después en cada pedido.</w:t>
      </w:r>
    </w:p>
    <w:p>
      <w:pPr>
        <w:spacing w:after="40"/>
      </w:pPr>
      <w:r>
        <w:rPr>
          <w:b/>
          <w:color w:val="1F4E79"/>
        </w:rPr>
        <w:t xml:space="preserve">Paso 4. </w:t>
      </w:r>
      <w:r>
        <w:rPr>
          <w:b/>
        </w:rPr>
        <w:t>Guardar</w:t>
      </w:r>
    </w:p>
    <w:p>
      <w:pPr>
        <w:spacing w:after="160"/>
        <w:ind w:left="504"/>
      </w:pPr>
      <w:r>
        <w:rPr>
          <w:sz w:val="21"/>
        </w:rPr>
        <w:t>El producto queda disponible para compras y ventas.</w:t>
      </w:r>
    </w:p>
    <w:p>
      <w:pPr>
        <w:spacing w:after="160"/>
        <w:ind w:left="288"/>
      </w:pPr>
      <w:r>
        <w:rPr>
          <w:b/>
          <w:color w:val="B06A00"/>
        </w:rPr>
        <w:t xml:space="preserve">Nota: </w:t>
      </w:r>
      <w:r>
        <w:rPr>
          <w:i/>
          <w:sz w:val="21"/>
        </w:rPr>
        <w:t>El margen y los costos solo los ven el dueño y los superusuarios. El personal de ventas ve el precio, no la ganancia.</w:t>
      </w:r>
    </w:p>
    <w:p>
      <w:pPr>
        <w:pStyle w:val="Heading1"/>
      </w:pPr>
      <w:r>
        <w:t>4. Compras (entrada de mercancía)</w:t>
      </w:r>
    </w:p>
    <w:p>
      <w:pPr>
        <w:pStyle w:val="Heading2"/>
      </w:pPr>
      <w:r>
        <w:t>4.1 Crear la orden de compra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Nueva orden de compra</w:t>
      </w:r>
    </w:p>
    <w:p>
      <w:pPr>
        <w:spacing w:after="160"/>
        <w:ind w:left="504"/>
      </w:pPr>
      <w:r>
        <w:rPr>
          <w:sz w:val="21"/>
        </w:rPr>
        <w:t>Entra a Compras → Nueva orden. Selecciona el proveedor.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Agregar productos</w:t>
      </w:r>
    </w:p>
    <w:p>
      <w:pPr>
        <w:spacing w:after="160"/>
        <w:ind w:left="504"/>
      </w:pPr>
      <w:r>
        <w:rPr>
          <w:sz w:val="21"/>
        </w:rPr>
        <w:t>Agrega las partidas: producto, cantidad y costo unitario.</w:t>
      </w:r>
    </w:p>
    <w:p>
      <w:pPr>
        <w:spacing w:after="40"/>
      </w:pPr>
      <w:r>
        <w:rPr>
          <w:b/>
          <w:color w:val="1F4E79"/>
        </w:rPr>
        <w:t xml:space="preserve">Paso 3. </w:t>
      </w:r>
      <w:r>
        <w:rPr>
          <w:b/>
        </w:rPr>
        <w:t>Guardar la orden</w:t>
      </w:r>
    </w:p>
    <w:p>
      <w:pPr>
        <w:spacing w:after="160"/>
        <w:ind w:left="504"/>
      </w:pPr>
      <w:r>
        <w:rPr>
          <w:sz w:val="21"/>
        </w:rPr>
        <w:t>La orden queda registrada con su folio. Puedes consultarla en el listado, donde las filas se expanden para ver el detalle.</w:t>
      </w:r>
    </w:p>
    <w:p>
      <w:pPr>
        <w:pStyle w:val="Heading2"/>
      </w:pPr>
      <w:r>
        <w:t>4.2 Recibir la mercancía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Abrir la orden</w:t>
      </w:r>
    </w:p>
    <w:p>
      <w:pPr>
        <w:spacing w:after="160"/>
        <w:ind w:left="504"/>
      </w:pPr>
      <w:r>
        <w:rPr>
          <w:sz w:val="21"/>
        </w:rPr>
        <w:t>Desde el detalle de la orden, usa 'Recibir mercancía'.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Confirmar cantidades</w:t>
      </w:r>
    </w:p>
    <w:p>
      <w:pPr>
        <w:spacing w:after="160"/>
        <w:ind w:left="504"/>
      </w:pPr>
      <w:r>
        <w:rPr>
          <w:sz w:val="21"/>
        </w:rPr>
        <w:t>Indica cuánto llegó. Las existencias se suman automáticamente al almacén de la sucursal.</w:t>
      </w:r>
    </w:p>
    <w:p>
      <w:pPr>
        <w:spacing w:after="160"/>
        <w:ind w:left="288"/>
      </w:pPr>
      <w:r>
        <w:rPr>
          <w:b/>
          <w:color w:val="B06A00"/>
        </w:rPr>
        <w:t xml:space="preserve">Nota: </w:t>
      </w:r>
      <w:r>
        <w:rPr>
          <w:i/>
          <w:sz w:val="21"/>
        </w:rPr>
        <w:t>Los productos de servicio aparecen como recibidos automáticamente: no necesitan recepción física y no causan ruido en el inventario.</w:t>
      </w:r>
    </w:p>
    <w:p>
      <w:pPr>
        <w:pStyle w:val="Heading2"/>
      </w:pPr>
      <w:r>
        <w:t>4.3 Productos de uso personal</w:t>
      </w:r>
    </w:p>
    <w:p>
      <w:pPr>
        <w:spacing w:after="120"/>
      </w:pPr>
      <w:r>
        <w:rPr>
          <w:b w:val="0"/>
          <w:i w:val="0"/>
          <w:sz w:val="22"/>
        </w:rPr>
        <w:t>Si una compra es para uso personal (no para venta), puedes sacarla del inventario comercial sin borrar el registro.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Configurar el almacén de uso personal</w:t>
      </w:r>
    </w:p>
    <w:p>
      <w:pPr>
        <w:spacing w:after="160"/>
        <w:ind w:left="504"/>
      </w:pPr>
      <w:r>
        <w:rPr>
          <w:sz w:val="21"/>
        </w:rPr>
        <w:t>Una sola vez: en el catálogo de almacenes, marca un almacén con la casilla 'es uso personal'.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Marcar la orden como uso personal</w:t>
      </w:r>
    </w:p>
    <w:p>
      <w:pPr>
        <w:spacing w:after="160"/>
        <w:ind w:left="504"/>
      </w:pPr>
      <w:r>
        <w:rPr>
          <w:sz w:val="21"/>
        </w:rPr>
        <w:t>En la orden, da clic en 'Uso personal'. El sistema mueve esas existencias al almacén marcado y permaneces en la misma pantalla.</w:t>
      </w:r>
    </w:p>
    <w:p>
      <w:pPr>
        <w:pStyle w:val="Heading1"/>
      </w:pPr>
      <w:r>
        <w:t>5. Ventas (salida de mercancía)</w:t>
      </w:r>
    </w:p>
    <w:p>
      <w:pPr>
        <w:pStyle w:val="Heading2"/>
      </w:pPr>
      <w:r>
        <w:t>5.1 Cotización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Nueva cotización</w:t>
      </w:r>
    </w:p>
    <w:p>
      <w:pPr>
        <w:spacing w:after="160"/>
        <w:ind w:left="504"/>
      </w:pPr>
      <w:r>
        <w:rPr>
          <w:sz w:val="21"/>
        </w:rPr>
        <w:t>Entra a Ventas → Cotizaciones → Nueva. Selecciona el cliente.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Agregar productos</w:t>
      </w:r>
    </w:p>
    <w:p>
      <w:pPr>
        <w:spacing w:after="160"/>
        <w:ind w:left="504"/>
      </w:pPr>
      <w:r>
        <w:rPr>
          <w:sz w:val="21"/>
        </w:rPr>
        <w:t>Al elegir un producto verás cuántas unidades hay en inventario. Puedes priorizar los que tienen existencia o los no inventariables.</w:t>
      </w:r>
    </w:p>
    <w:p>
      <w:pPr>
        <w:spacing w:after="40"/>
      </w:pPr>
      <w:r>
        <w:rPr>
          <w:b/>
          <w:color w:val="1F4E79"/>
        </w:rPr>
        <w:t xml:space="preserve">Paso 3. </w:t>
      </w:r>
      <w:r>
        <w:rPr>
          <w:b/>
        </w:rPr>
        <w:t>Revisar precio y margen</w:t>
      </w:r>
    </w:p>
    <w:p>
      <w:pPr>
        <w:spacing w:after="160"/>
        <w:ind w:left="504"/>
      </w:pPr>
      <w:r>
        <w:rPr>
          <w:sz w:val="21"/>
        </w:rPr>
        <w:t>El precio se sugiere a partir del margen. El dueño/superusuario ve el panel de ganancia (costo, venta, ganancia y margen).</w:t>
      </w:r>
    </w:p>
    <w:p>
      <w:pPr>
        <w:spacing w:after="40"/>
      </w:pPr>
      <w:r>
        <w:rPr>
          <w:b/>
          <w:color w:val="1F4E79"/>
        </w:rPr>
        <w:t xml:space="preserve">Paso 4. </w:t>
      </w:r>
      <w:r>
        <w:rPr>
          <w:b/>
        </w:rPr>
        <w:t>Guardar la cotización</w:t>
      </w:r>
    </w:p>
    <w:p>
      <w:pPr>
        <w:spacing w:after="160"/>
        <w:ind w:left="504"/>
      </w:pPr>
      <w:r>
        <w:rPr>
          <w:sz w:val="21"/>
        </w:rPr>
        <w:t>Queda como borrador para enviarla al cliente.</w:t>
      </w:r>
    </w:p>
    <w:p>
      <w:pPr>
        <w:pStyle w:val="Heading2"/>
      </w:pPr>
      <w:r>
        <w:t>5.2 Convertir a pedido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Generar el pedido</w:t>
      </w:r>
    </w:p>
    <w:p>
      <w:pPr>
        <w:spacing w:after="160"/>
        <w:ind w:left="504"/>
      </w:pPr>
      <w:r>
        <w:rPr>
          <w:sz w:val="21"/>
        </w:rPr>
        <w:t>Cuando el cliente acepta, convierte la cotización en pedido.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Confirmar partidas y precios</w:t>
      </w:r>
    </w:p>
    <w:p>
      <w:pPr>
        <w:spacing w:after="160"/>
        <w:ind w:left="504"/>
      </w:pPr>
      <w:r>
        <w:rPr>
          <w:sz w:val="21"/>
        </w:rPr>
        <w:t>Ajusta cantidades, precios o márgenes si hace falta. El total se recalcula solo.</w:t>
      </w:r>
    </w:p>
    <w:p>
      <w:pPr>
        <w:pStyle w:val="Heading2"/>
      </w:pPr>
      <w:r>
        <w:t>5.3 Entregar la mercancía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Registrar la entrega</w:t>
      </w:r>
    </w:p>
    <w:p>
      <w:pPr>
        <w:spacing w:after="160"/>
        <w:ind w:left="504"/>
      </w:pPr>
      <w:r>
        <w:rPr>
          <w:sz w:val="21"/>
        </w:rPr>
        <w:t>Desde el pedido, usa 'Entregar mercancía'. Las existencias se descuentan del almacén.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Entregas parciales de servicios</w:t>
      </w:r>
    </w:p>
    <w:p>
      <w:pPr>
        <w:spacing w:after="160"/>
        <w:ind w:left="504"/>
      </w:pPr>
      <w:r>
        <w:rPr>
          <w:sz w:val="21"/>
        </w:rPr>
        <w:t>En proyectos de servicio puedes entregar por partes (por ejemplo, 50% anticipo, 25% beta, 25% producción).</w:t>
      </w:r>
    </w:p>
    <w:p>
      <w:pPr>
        <w:pStyle w:val="Heading2"/>
      </w:pPr>
      <w:r>
        <w:t>5.4 Cancelar una venta</w:t>
      </w:r>
    </w:p>
    <w:p>
      <w:pPr>
        <w:spacing w:after="120"/>
      </w:pPr>
      <w:r>
        <w:rPr>
          <w:b w:val="0"/>
          <w:i w:val="0"/>
          <w:sz w:val="22"/>
        </w:rPr>
        <w:t>Solo el dueño puede cancelar una venta ya entregada.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Cancelar con reversa</w:t>
      </w:r>
    </w:p>
    <w:p>
      <w:pPr>
        <w:spacing w:after="160"/>
        <w:ind w:left="504"/>
      </w:pPr>
      <w:r>
        <w:rPr>
          <w:sz w:val="21"/>
        </w:rPr>
        <w:t>Al cancelar, el inventario se regresa al almacén y la cuenta por cobrar se cancela.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Registrar el motivo</w:t>
      </w:r>
    </w:p>
    <w:p>
      <w:pPr>
        <w:spacing w:after="160"/>
        <w:ind w:left="504"/>
      </w:pPr>
      <w:r>
        <w:rPr>
          <w:sz w:val="21"/>
        </w:rPr>
        <w:t>Captura la razón de cancelación; queda en la bitácora del pedido junto con las observaciones.</w:t>
      </w:r>
    </w:p>
    <w:p>
      <w:pPr>
        <w:spacing w:after="160"/>
        <w:ind w:left="288"/>
      </w:pPr>
      <w:r>
        <w:rPr>
          <w:b/>
          <w:color w:val="B06A00"/>
        </w:rPr>
        <w:t xml:space="preserve">Nota: </w:t>
      </w:r>
      <w:r>
        <w:rPr>
          <w:i/>
          <w:sz w:val="21"/>
        </w:rPr>
        <w:t>Todas las confirmaciones del sistema usan ventanas estilizadas; las acciones peligrosas (cancelar) muestran un aviso en rojo antes de continuar.</w:t>
      </w:r>
    </w:p>
    <w:p>
      <w:pPr>
        <w:pStyle w:val="Heading1"/>
      </w:pPr>
      <w:r>
        <w:t>6. Finanzas (cobro y facturación)</w:t>
      </w:r>
    </w:p>
    <w:p>
      <w:pPr>
        <w:spacing w:after="120"/>
      </w:pPr>
      <w:r>
        <w:rPr>
          <w:b w:val="0"/>
          <w:i w:val="0"/>
          <w:sz w:val="22"/>
        </w:rPr>
        <w:t>En iErp el cobro y la facturación son cosas distintas: un pedido puede estar cobrado pero no facturado, o facturado y aún por cobrar.</w:t>
      </w:r>
    </w:p>
    <w:p>
      <w:pPr>
        <w:pStyle w:val="Heading2"/>
      </w:pPr>
      <w:r>
        <w:t>6.1 Cuentas por cobrar</w:t>
      </w:r>
    </w:p>
    <w:p>
      <w:pPr>
        <w:spacing w:after="120"/>
      </w:pPr>
      <w:r>
        <w:rPr>
          <w:b w:val="0"/>
          <w:i w:val="0"/>
          <w:sz w:val="22"/>
        </w:rPr>
        <w:t>En Finanzas → Cuentas por cobrar verás los indicadores clave:</w:t>
      </w:r>
    </w:p>
    <w:p>
      <w:pPr>
        <w:pStyle w:val="ListBullet"/>
        <w:spacing w:after="60"/>
      </w:pPr>
      <w:r>
        <w:t>Total por cobrar</w:t>
      </w:r>
    </w:p>
    <w:p>
      <w:pPr>
        <w:pStyle w:val="ListBullet"/>
        <w:spacing w:after="60"/>
      </w:pPr>
      <w:r>
        <w:t>Pendiente de facturar</w:t>
      </w:r>
    </w:p>
    <w:p>
      <w:pPr>
        <w:pStyle w:val="ListBullet"/>
        <w:spacing w:after="60"/>
      </w:pPr>
      <w:r>
        <w:t>Por cobrar sin facturar</w:t>
      </w:r>
    </w:p>
    <w:p>
      <w:pPr>
        <w:pStyle w:val="ListBullet"/>
        <w:spacing w:after="60"/>
      </w:pPr>
      <w:r>
        <w:t>Facturado por cobrar</w:t>
      </w:r>
    </w:p>
    <w:p>
      <w:pPr>
        <w:spacing w:after="160"/>
      </w:pPr>
      <w:r>
        <w:rPr>
          <w:b w:val="0"/>
          <w:i w:val="0"/>
          <w:sz w:val="22"/>
        </w:rPr>
        <w:t>Cada cuenta muestra una etiqueta de estatus de facturación. Las cuentas canceladas no se toman en cuenta ni se pueden seleccionar.</w:t>
      </w:r>
    </w:p>
    <w:p>
      <w:pPr>
        <w:pStyle w:val="Heading2"/>
      </w:pPr>
      <w:r>
        <w:t>6.2 Registrar un cobro (pago)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Abrir la cuenta por cobrar</w:t>
      </w:r>
    </w:p>
    <w:p>
      <w:pPr>
        <w:spacing w:after="160"/>
        <w:ind w:left="504"/>
      </w:pPr>
      <w:r>
        <w:rPr>
          <w:sz w:val="21"/>
        </w:rPr>
        <w:t>Selecciona la cuenta del cliente.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Registrar el pago</w:t>
      </w:r>
    </w:p>
    <w:p>
      <w:pPr>
        <w:spacing w:after="160"/>
        <w:ind w:left="504"/>
      </w:pPr>
      <w:r>
        <w:rPr>
          <w:sz w:val="21"/>
        </w:rPr>
        <w:t>Captura el monto recibido. En la pantalla de Pagos los ingresos y egresos se muestran por separado.</w:t>
      </w:r>
    </w:p>
    <w:p>
      <w:pPr>
        <w:pStyle w:val="Heading2"/>
      </w:pPr>
      <w:r>
        <w:t>6.3 Generar el Excel para facturar</w:t>
      </w:r>
    </w:p>
    <w:p>
      <w:pPr>
        <w:spacing w:after="120"/>
      </w:pPr>
      <w:r>
        <w:rPr>
          <w:b w:val="0"/>
          <w:i w:val="0"/>
          <w:sz w:val="22"/>
        </w:rPr>
        <w:t>Para pedir la factura al contador: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Seleccionar cuentas pendientes</w:t>
      </w:r>
    </w:p>
    <w:p>
      <w:pPr>
        <w:spacing w:after="160"/>
        <w:ind w:left="504"/>
      </w:pPr>
      <w:r>
        <w:rPr>
          <w:sz w:val="21"/>
        </w:rPr>
        <w:t>Marca las cuentas por cobrar pendientes y no canceladas.</w:t>
      </w:r>
    </w:p>
    <w:p>
      <w:pPr>
        <w:spacing w:after="40"/>
      </w:pPr>
      <w:r>
        <w:rPr>
          <w:b/>
          <w:color w:val="1F4E79"/>
        </w:rPr>
        <w:t xml:space="preserve">Paso 2. </w:t>
      </w:r>
      <w:r>
        <w:rPr>
          <w:b/>
        </w:rPr>
        <w:t>Generar Excel</w:t>
      </w:r>
    </w:p>
    <w:p>
      <w:pPr>
        <w:spacing w:after="160"/>
        <w:ind w:left="504"/>
      </w:pPr>
      <w:r>
        <w:rPr>
          <w:sz w:val="21"/>
        </w:rPr>
        <w:t>El sistema descarga un archivo con cliente, RFC, producto, descripción, cantidad, precio unitario, IVA y total.</w:t>
      </w:r>
    </w:p>
    <w:p>
      <w:pPr>
        <w:spacing w:after="40"/>
      </w:pPr>
      <w:r>
        <w:rPr>
          <w:b/>
          <w:color w:val="1F4E79"/>
        </w:rPr>
        <w:t xml:space="preserve">Paso 3. </w:t>
      </w:r>
      <w:r>
        <w:rPr>
          <w:b/>
        </w:rPr>
        <w:t>Anticipos prorrateados</w:t>
      </w:r>
    </w:p>
    <w:p>
      <w:pPr>
        <w:spacing w:after="160"/>
        <w:ind w:left="504"/>
      </w:pPr>
      <w:r>
        <w:rPr>
          <w:sz w:val="21"/>
        </w:rPr>
        <w:t>Si la cuenta es un anticipo (por ejemplo 50%), el Excel trae solo la parte proporcional, no el pedido completo.</w:t>
      </w:r>
    </w:p>
    <w:p>
      <w:pPr>
        <w:pStyle w:val="Heading2"/>
      </w:pPr>
      <w:r>
        <w:t>6.4 Estados de cuenta por cliente</w:t>
      </w:r>
    </w:p>
    <w:p>
      <w:pPr>
        <w:spacing w:after="40"/>
      </w:pPr>
      <w:r>
        <w:rPr>
          <w:b/>
          <w:color w:val="1F4E79"/>
        </w:rPr>
        <w:t xml:space="preserve">Paso 1. </w:t>
      </w:r>
      <w:r>
        <w:rPr>
          <w:b/>
        </w:rPr>
        <w:t>Consultar el estado de cuenta</w:t>
      </w:r>
    </w:p>
    <w:p>
      <w:pPr>
        <w:spacing w:after="160"/>
        <w:ind w:left="504"/>
      </w:pPr>
      <w:r>
        <w:rPr>
          <w:sz w:val="21"/>
        </w:rPr>
        <w:t>En Finanzas → Estados de cuenta, elige el cliente para ver cuánto debe y cuánto ha pagado.</w:t>
      </w:r>
    </w:p>
    <w:p>
      <w:pPr>
        <w:pStyle w:val="Heading1"/>
      </w:pPr>
      <w:r>
        <w:t>7. Tablero ejecutivo</w:t>
      </w:r>
    </w:p>
    <w:p>
      <w:pPr>
        <w:spacing w:after="120"/>
      </w:pPr>
      <w:r>
        <w:rPr>
          <w:b w:val="0"/>
          <w:i w:val="0"/>
          <w:sz w:val="22"/>
        </w:rPr>
        <w:t>El dashboard ejecutivo resume la operación: ventas, cuentas por cobrar, pendientes de facturar y ganancia. Los indicadores financieros y de ganancia solo son visibles para el dueño y los superusuarios.</w:t>
      </w:r>
    </w:p>
    <w:p>
      <w:pPr>
        <w:pStyle w:val="Heading1"/>
      </w:pPr>
      <w:r>
        <w:t>8. Resumen del flujo de Insermed</w:t>
      </w:r>
    </w:p>
    <w:p>
      <w:pPr>
        <w:pStyle w:val="ListNumber"/>
        <w:spacing w:after="80"/>
      </w:pPr>
      <w:r>
        <w:t>Doy de alta el producto (clase, grupo, margen; servicio o inventariable).</w:t>
      </w:r>
    </w:p>
    <w:p>
      <w:pPr>
        <w:pStyle w:val="ListNumber"/>
        <w:spacing w:after="80"/>
      </w:pPr>
      <w:r>
        <w:t>Hago la orden de compra y recibo la mercancía → entra al almacén.</w:t>
      </w:r>
    </w:p>
    <w:p>
      <w:pPr>
        <w:pStyle w:val="ListNumber"/>
        <w:spacing w:after="80"/>
      </w:pPr>
      <w:r>
        <w:t>Cotizo al cliente y convierto la cotización en pedido.</w:t>
      </w:r>
    </w:p>
    <w:p>
      <w:pPr>
        <w:pStyle w:val="ListNumber"/>
        <w:spacing w:after="80"/>
      </w:pPr>
      <w:r>
        <w:t>Entrego la mercancía → sale del almacén.</w:t>
      </w:r>
    </w:p>
    <w:p>
      <w:pPr>
        <w:pStyle w:val="ListNumber"/>
        <w:spacing w:after="80"/>
      </w:pPr>
      <w:r>
        <w:t>Se genera la cuenta por cobrar.</w:t>
      </w:r>
    </w:p>
    <w:p>
      <w:pPr>
        <w:pStyle w:val="ListNumber"/>
        <w:spacing w:after="80"/>
      </w:pPr>
      <w:r>
        <w:t>Registro el cobro cuando el cliente paga.</w:t>
      </w:r>
    </w:p>
    <w:p>
      <w:pPr>
        <w:pStyle w:val="ListNumber"/>
        <w:spacing w:after="80"/>
      </w:pPr>
      <w:r>
        <w:t>Genero el Excel y pido la factura al contador.</w:t>
      </w:r>
    </w:p>
    <w:p>
      <w:pPr>
        <w:pStyle w:val="ListNumber"/>
        <w:spacing w:after="80"/>
      </w:pPr>
      <w:r>
        <w:t>Reviso estados de cuenta y el tablero ejecutivo.</w:t>
      </w:r>
    </w:p>
    <w:p>
      <w:pPr>
        <w:spacing w:after="120"/>
      </w:pPr>
      <w:r>
        <w:rPr>
          <w:b w:val="0"/>
          <w:i w:val="0"/>
          <w:sz w:val="22"/>
        </w:rPr>
      </w:r>
    </w:p>
    <w:p>
      <w:pPr>
        <w:jc w:val="center"/>
      </w:pPr>
      <w:r>
        <w:rPr>
          <w:i/>
          <w:color w:val="555555"/>
          <w:sz w:val="18"/>
        </w:rPr>
        <w:t>iErp · Manual de operación Insermed · Documento interno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