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April 23, 2025</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color w:val="ff0000"/>
          <w:sz w:val="24"/>
          <w:szCs w:val="24"/>
        </w:rPr>
      </w:pPr>
      <w:bookmarkStart w:colFirst="0" w:colLast="0" w:name="_heading=h.zdux0bsffop6" w:id="0"/>
      <w:bookmarkEnd w:id="0"/>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MEMORANDUM FOR: </w:t>
        <w:tab/>
      </w:r>
      <w:r w:rsidDel="00000000" w:rsidR="00000000" w:rsidRPr="00000000">
        <w:rPr>
          <w:rFonts w:ascii="Times New Roman" w:cs="Times New Roman" w:eastAsia="Times New Roman" w:hAnsi="Times New Roman"/>
          <w:sz w:val="24"/>
          <w:szCs w:val="24"/>
          <w:rtl w:val="0"/>
        </w:rPr>
        <w:t xml:space="preserve">Nancy Majorwer</w:t>
      </w:r>
    </w:p>
    <w:p w:rsidR="00000000" w:rsidDel="00000000" w:rsidP="00000000" w:rsidRDefault="00000000" w:rsidRPr="00000000" w14:paraId="00000005">
      <w:pPr>
        <w:spacing w:after="0" w:line="240" w:lineRule="auto"/>
        <w:ind w:left="288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NOAA Chief Information Officer and Director, High Performance Computing and Communications (Acting) </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Manan Dalal</w:t>
        <w:tab/>
      </w:r>
    </w:p>
    <w:p w:rsidR="00000000" w:rsidDel="00000000" w:rsidP="00000000" w:rsidRDefault="00000000" w:rsidRPr="00000000" w14:paraId="00000008">
      <w:pPr>
        <w:spacing w:after="0" w:line="240" w:lineRule="auto"/>
        <w:ind w:firstLine="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Assistant Chief Information Officer - Satellites</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w:t>
        <w:tab/>
        <w:tab/>
        <w:tab/>
      </w:r>
      <w:r w:rsidDel="00000000" w:rsidR="00000000" w:rsidRPr="00000000">
        <w:rPr>
          <w:rFonts w:ascii="Times New Roman" w:cs="Times New Roman" w:eastAsia="Times New Roman" w:hAnsi="Times New Roman"/>
          <w:sz w:val="24"/>
          <w:szCs w:val="24"/>
          <w:rtl w:val="0"/>
        </w:rPr>
        <w:t xml:space="preserve">Kumar Machado</w:t>
      </w:r>
    </w:p>
    <w:p w:rsidR="00000000" w:rsidDel="00000000" w:rsidP="00000000" w:rsidRDefault="00000000" w:rsidRPr="00000000" w14:paraId="0000000C">
      <w:pPr>
        <w:spacing w:after="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System Owner, NOAA5006 NESDIS Cloud System Development &amp; Sandbox Subsystem (NCSDEV)</w:t>
        <w:br w:type="textWrapping"/>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Request for Acceptance of Risk (AOR) f</w:t>
      </w:r>
      <w:r w:rsidDel="00000000" w:rsidR="00000000" w:rsidRPr="00000000">
        <w:rPr>
          <w:rFonts w:ascii="Times New Roman" w:cs="Times New Roman" w:eastAsia="Times New Roman" w:hAnsi="Times New Roman"/>
          <w:color w:val="000000"/>
          <w:sz w:val="24"/>
          <w:szCs w:val="24"/>
          <w:rtl w:val="0"/>
        </w:rPr>
        <w:t xml:space="preserve">or Use of Tenable Security Center (TSC) Application Programming Interface (API)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color w:val="000000"/>
          <w:sz w:val="24"/>
          <w:szCs w:val="24"/>
          <w:rtl w:val="0"/>
        </w:rPr>
        <w:t xml:space="preserve">ithin the NOAA5006 NESDIS Cloud System Development &amp; Sandbox Subsystem (NCSDEV)</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memorandum serves as the official document to record the request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color w:val="000000"/>
          <w:sz w:val="24"/>
          <w:szCs w:val="24"/>
          <w:rtl w:val="0"/>
        </w:rPr>
        <w:t xml:space="preserve"> risk acceptance for the</w:t>
      </w:r>
      <w:r w:rsidDel="00000000" w:rsidR="00000000" w:rsidRPr="00000000">
        <w:rPr>
          <w:rFonts w:ascii="Times New Roman" w:cs="Times New Roman" w:eastAsia="Times New Roman" w:hAnsi="Times New Roman"/>
          <w:sz w:val="24"/>
          <w:szCs w:val="24"/>
          <w:rtl w:val="0"/>
        </w:rPr>
        <w:t xml:space="preserve"> use of sensitive Controlled Unclassified Information (CUI) TSC scan data in NOAA5006  Amazon Web Services (AWS) Cyber Security Tools Analysis (CSTA) cloud sandbox environment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1">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Background</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bookmarkStart w:colFirst="0" w:colLast="0" w:name="_heading=h.vaws7uchybbu" w:id="1"/>
      <w:bookmarkEnd w:id="1"/>
      <w:r w:rsidDel="00000000" w:rsidR="00000000" w:rsidRPr="00000000">
        <w:rPr>
          <w:rFonts w:ascii="Times New Roman" w:cs="Times New Roman" w:eastAsia="Times New Roman" w:hAnsi="Times New Roman"/>
          <w:sz w:val="24"/>
          <w:szCs w:val="24"/>
          <w:rtl w:val="0"/>
        </w:rPr>
        <w:t xml:space="preserve">The Security Architecture &amp; Evaluation (SAE) Team at the Office of Satellite and Product Operations (OSPO) obtained funding and access for a sandbox environment, provisioned by the National Environmental Satellite, Data, and Information Service (NESDIS) Innovation Hub (NIH) on NOAA5006. The purpose of this environment is for SAE to provision infrastructure, evaluate different AWS-native tools, and automate mission-critical functions. The OSPO Security Management Center (SMC) currently leverages the TSC API within the cloud environment to automate the generation of the Binding Operational Directive (BOD) 22-01 reporting, which includes references to device vulnerability data and their respective internet protocol (IP) addresses. </w:t>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Current Status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TSC API is currently in use within an AWS-based CSTA sandbox environment provisioned by the NESDIS Innovation Hub (NIH). This environment was established specifically for prototyping, automation, and tool evaluation by evaluator consultants. It is important to note that this sandbox is not governed by the same Enterprise Storage Solution (ESS) controls applied to the development (DEV) and production (PROD) environments.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CUI scan data from TSC is being ingested into this environment for automation testing purposes. However, the TSC API does not support end-to-end encryption, and current security group configurations allow for wildcard or open access, which does not restrict inbound traffic to specific IPs, subnets, or known security groups. Additionally, secrets stored in AWS Secrets Manager may be accessed by users or services with assigned “execute” permissions, which could present a risk if those permissions are not appropriately scoped.</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sandbox operates within a shared Virtual Private Cloud (VPC), accessible by NIH administrators and selected NOAA personnel. While AWS CloudTrail is enabled to log all access and role assumption events, and Common Access Card (CAC)-based Single Sign-On (SSO) is required for account-level authentication, the overall security posture remains less restrictive than enterprise environments. Access to the VPC is gated via bastion host configuration or AWS CloudShell, and external access is further limited through Fortinet firewall policies, which only permit traffic from IP addresses within the Enterprise Remote Access Virtual Private Network (ERAV) range. External environments governed under the Federal Information Security Modernization Act (FISMA) are not permitted to route traffic into this sandbox environment.</w:t>
      </w:r>
    </w:p>
    <w:p w:rsidR="00000000" w:rsidDel="00000000" w:rsidP="00000000" w:rsidRDefault="00000000" w:rsidRPr="00000000" w14:paraId="0000001C">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Risk Description:</w:t>
      </w:r>
    </w:p>
    <w:p w:rsidR="00000000" w:rsidDel="00000000" w:rsidP="00000000" w:rsidRDefault="00000000" w:rsidRPr="00000000" w14:paraId="0000001D">
      <w:pPr>
        <w:spacing w:after="240" w:before="240" w:line="259.2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the TSC API within the AWS CSTA sandbox environment introduces several security risks due to the nature of the environment and its configuration. Specifically,</w:t>
      </w:r>
    </w:p>
    <w:p w:rsidR="00000000" w:rsidDel="00000000" w:rsidP="00000000" w:rsidRDefault="00000000" w:rsidRPr="00000000" w14:paraId="0000001E">
      <w:pPr>
        <w:numPr>
          <w:ilvl w:val="0"/>
          <w:numId w:val="2"/>
        </w:numPr>
        <w:spacing w:after="100" w:line="259.20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high-risk scan data is ingested, via the TSC API, into the sandbox environment that lacks end-to-end encryption and increases the risk of data interception during transmission;</w:t>
      </w:r>
    </w:p>
    <w:p w:rsidR="00000000" w:rsidDel="00000000" w:rsidP="00000000" w:rsidRDefault="00000000" w:rsidRPr="00000000" w14:paraId="0000001F">
      <w:pPr>
        <w:numPr>
          <w:ilvl w:val="0"/>
          <w:numId w:val="2"/>
        </w:numPr>
        <w:spacing w:after="100" w:line="259.20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sandbox is not governed by the ESS, nor is it subject to the same access controls, vulnerability scanning, or monitoring practices as the ESS development and production environments;</w:t>
      </w:r>
    </w:p>
    <w:p w:rsidR="00000000" w:rsidDel="00000000" w:rsidP="00000000" w:rsidRDefault="00000000" w:rsidRPr="00000000" w14:paraId="00000020">
      <w:pPr>
        <w:numPr>
          <w:ilvl w:val="0"/>
          <w:numId w:val="2"/>
        </w:numPr>
        <w:spacing w:after="100" w:line="259.20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sandbox is a tenant of NIH and Web Operations Center (WOC), such that there is a possibility that individuals outside of the OSPO Cyber Security Division (CSD) Mission, including members of FISMA boundaries outside of NOAA5006, could inadvertently or maliciously access sensitive CUI data; and a WOC user can get admin-level privileges within the sandbox environment and gain access to the sensitive CUI information that they otherwise would not have had access to. This can lead to data leakage and exfiltration. This weakness/vulnerability can be exploited by a threat actor from inside of NOAA.</w:t>
      </w:r>
      <w:r w:rsidDel="00000000" w:rsidR="00000000" w:rsidRPr="00000000">
        <w:rPr>
          <w:rtl w:val="0"/>
        </w:rPr>
      </w:r>
    </w:p>
    <w:p w:rsidR="00000000" w:rsidDel="00000000" w:rsidP="00000000" w:rsidRDefault="00000000" w:rsidRPr="00000000" w14:paraId="00000021">
      <w:pPr>
        <w:numPr>
          <w:ilvl w:val="0"/>
          <w:numId w:val="2"/>
        </w:numPr>
        <w:spacing w:after="100" w:line="259.20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TSC API does not enforce Transport Layer Security (TLS) 1.3 certificates, which makes communications between the CSTA environment and the NOAA Enterprise Network (N-Wave) less secure.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tbl>
      <w:tblPr>
        <w:tblStyle w:val="Table1"/>
        <w:tblW w:w="891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5850"/>
        <w:tblGridChange w:id="0">
          <w:tblGrid>
            <w:gridCol w:w="3060"/>
            <w:gridCol w:w="58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23">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LOW   </w:t>
            </w:r>
            <w:sdt>
              <w:sdtPr>
                <w:id w:val="-5500802"/>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MODERATE   </w:t>
            </w:r>
            <w:sdt>
              <w:sdtPr>
                <w:id w:val="-307764958"/>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HIGH  </w:t>
            </w:r>
            <w:sdt>
              <w:sdtPr>
                <w:id w:val="62603974"/>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25">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LOW  </w:t>
            </w:r>
            <w:sdt>
              <w:sdtPr>
                <w:id w:val="-1178067219"/>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MODERATE   </w:t>
            </w:r>
            <w:sdt>
              <w:sdtPr>
                <w:id w:val="-609625360"/>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HIGH  </w:t>
            </w:r>
            <w:sdt>
              <w:sdtPr>
                <w:id w:val="-2112443541"/>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27">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Overall Risk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LOW  </w:t>
            </w:r>
            <w:sdt>
              <w:sdtPr>
                <w:id w:val="1640197358"/>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MODERATE   </w:t>
            </w:r>
            <w:sdt>
              <w:sdtPr>
                <w:id w:val="1735376721"/>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HIGH  </w:t>
            </w:r>
            <w:sdt>
              <w:sdtPr>
                <w:id w:val="2065766804"/>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Remediation:</w:t>
      </w:r>
    </w:p>
    <w:p w:rsidR="00000000" w:rsidDel="00000000" w:rsidP="00000000" w:rsidRDefault="00000000" w:rsidRPr="00000000" w14:paraId="0000002C">
      <w:pPr>
        <w:widowControl w:val="0"/>
        <w:spacing w:after="1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TLS 1.3 with mutual authentication to ensure end-to-end encryption between the ESS and the TSC API; enforce TLS 1.3-only policies at all ingress and egress points; establish mission-specific and strict security group segmentation, tagging sandbox resources with mission-aligned metadata for access control enforcement; and implementing continuous scanning to identify and eliminate weak encryption configurations. Unfortunately, as sub-tenant in the overall 5006 environment, SAE is not able nor authorized to execute these measures to address the weaknesses; consequently, we are relying on compensatory controls and other mitigating measures captured in the next section of this memo. </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Remediation Costs and Schedule:</w:t>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2"/>
        <w:tblW w:w="882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5850"/>
        <w:tblGridChange w:id="0">
          <w:tblGrid>
            <w:gridCol w:w="2970"/>
            <w:gridCol w:w="58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30">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Remediation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32">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Remediation 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N/A</w:t>
            </w:r>
            <w:r w:rsidDel="00000000" w:rsidR="00000000" w:rsidRPr="00000000">
              <w:rPr>
                <w:rtl w:val="0"/>
              </w:rPr>
            </w:r>
          </w:p>
        </w:tc>
      </w:tr>
    </w:tbl>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Mitigating Factors:</w:t>
      </w:r>
      <w:r w:rsidDel="00000000" w:rsidR="00000000" w:rsidRPr="00000000">
        <w:rPr>
          <w:rtl w:val="0"/>
        </w:rPr>
      </w:r>
    </w:p>
    <w:p w:rsidR="00000000" w:rsidDel="00000000" w:rsidP="00000000" w:rsidRDefault="00000000" w:rsidRPr="00000000" w14:paraId="00000036">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 and Auditable Access</w:t>
      </w:r>
    </w:p>
    <w:p w:rsidR="00000000" w:rsidDel="00000000" w:rsidP="00000000" w:rsidRDefault="00000000" w:rsidRPr="00000000" w14:paraId="00000037">
      <w:pPr>
        <w:numPr>
          <w:ilvl w:val="1"/>
          <w:numId w:val="1"/>
        </w:numPr>
        <w:spacing w:after="40" w:before="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AWS API interactions, role assumptions, and secret accesses are logged in AWS CloudTrail.</w:t>
      </w:r>
    </w:p>
    <w:p w:rsidR="00000000" w:rsidDel="00000000" w:rsidP="00000000" w:rsidRDefault="00000000" w:rsidRPr="00000000" w14:paraId="00000038">
      <w:pPr>
        <w:numPr>
          <w:ilvl w:val="1"/>
          <w:numId w:val="1"/>
        </w:numPr>
        <w:spacing w:after="40" w:before="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CAC-based SSO for NIH and WOC users and admins enforces strong authentication controls.</w:t>
      </w:r>
    </w:p>
    <w:p w:rsidR="00000000" w:rsidDel="00000000" w:rsidP="00000000" w:rsidRDefault="00000000" w:rsidRPr="00000000" w14:paraId="00000039">
      <w:pPr>
        <w:numPr>
          <w:ilvl w:val="1"/>
          <w:numId w:val="1"/>
        </w:numPr>
        <w:spacing w:after="40" w:before="4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provisioned sandbox users, Multi-Factor Authentication (MFA) and strong passwords are required for AWS console access.</w:t>
      </w:r>
      <w:r w:rsidDel="00000000" w:rsidR="00000000" w:rsidRPr="00000000">
        <w:rPr>
          <w:rtl w:val="0"/>
        </w:rPr>
      </w:r>
    </w:p>
    <w:p w:rsidR="00000000" w:rsidDel="00000000" w:rsidP="00000000" w:rsidRDefault="00000000" w:rsidRPr="00000000" w14:paraId="0000003A">
      <w:pPr>
        <w:numPr>
          <w:ilvl w:val="1"/>
          <w:numId w:val="1"/>
        </w:numPr>
        <w:spacing w:after="40" w:before="4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logging into the environment via bastion host, use of CAC-based authentication is required as well as an explicit white-list of CAC certificates per user from the network administrators.  </w:t>
      </w:r>
      <w:r w:rsidDel="00000000" w:rsidR="00000000" w:rsidRPr="00000000">
        <w:rPr>
          <w:rtl w:val="0"/>
        </w:rPr>
      </w:r>
    </w:p>
    <w:p w:rsidR="00000000" w:rsidDel="00000000" w:rsidP="00000000" w:rsidRDefault="00000000" w:rsidRPr="00000000" w14:paraId="0000003B">
      <w:pPr>
        <w:numPr>
          <w:ilvl w:val="0"/>
          <w:numId w:val="1"/>
        </w:numPr>
        <w:spacing w:after="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Scoped User Access</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approved NIH admins, NOAA staff, and designated individuals have permissions to access the sandbox environment and associated data.</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controls (RBAC) are implemented to restrict permissions based on need-to-know and function.</w:t>
      </w:r>
    </w:p>
    <w:p w:rsidR="00000000" w:rsidDel="00000000" w:rsidP="00000000" w:rsidRDefault="00000000" w:rsidRPr="00000000" w14:paraId="0000003E">
      <w:pPr>
        <w:numPr>
          <w:ilvl w:val="0"/>
          <w:numId w:val="1"/>
        </w:numPr>
        <w:spacing w:after="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Segmentation and Perimeter Security</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Bastion host access requirements and firewall restrictions enforce strict ingress limitations.</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all-permissive inbound security groups for any of the assets handling the data.</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ERAV-based IP restrictions and internal AWS tooling (e.g., CloudShell) prevent unauthorized lateral movement or external exposure.</w:t>
      </w:r>
    </w:p>
    <w:p w:rsidR="00000000" w:rsidDel="00000000" w:rsidP="00000000" w:rsidRDefault="00000000" w:rsidRPr="00000000" w14:paraId="00000042">
      <w:pPr>
        <w:numPr>
          <w:ilvl w:val="0"/>
          <w:numId w:val="1"/>
        </w:numPr>
        <w:spacing w:after="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Secrets Management Constraints</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Secrets Manager access requires explicitly granted execute permissions; default access does not include read capabilities.</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Permissions are scoped, per role, to reduce the potential for Amazon secrets misuse.</w:t>
      </w:r>
    </w:p>
    <w:p w:rsidR="00000000" w:rsidDel="00000000" w:rsidP="00000000" w:rsidRDefault="00000000" w:rsidRPr="00000000" w14:paraId="00000045">
      <w:pPr>
        <w:numPr>
          <w:ilvl w:val="0"/>
          <w:numId w:val="1"/>
        </w:numPr>
        <w:spacing w:after="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Exposure is Limited and Controlled</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data that passes through the environment will require special authentication to access. </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sensitive CUI data is encrypted at rest residing in the Amazon Relational Database Service (RDS) that requires administrative credentials.</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that leverages the TSC API cannot be executed within a web-hosted application. Rather, the calls are made from inside the VPC, which all reside inside of serverless Lambda functions, either manually by users with VPC access or by EventBridge cron job triggers that are scheduled by sandbox PowerUsers. </w:t>
      </w:r>
    </w:p>
    <w:p w:rsidR="00000000" w:rsidDel="00000000" w:rsidP="00000000" w:rsidRDefault="00000000" w:rsidRPr="00000000" w14:paraId="00000049">
      <w:pPr>
        <w:numPr>
          <w:ilvl w:val="0"/>
          <w:numId w:val="1"/>
        </w:numPr>
        <w:spacing w:after="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Network Isolation</w:t>
      </w:r>
    </w:p>
    <w:p w:rsidR="00000000" w:rsidDel="00000000" w:rsidP="00000000" w:rsidRDefault="00000000" w:rsidRPr="00000000" w14:paraId="0000004A">
      <w:pPr>
        <w:numPr>
          <w:ilvl w:val="1"/>
          <w:numId w:val="1"/>
        </w:numPr>
        <w:spacing w:after="40" w:before="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External networks to the CSTA VPC are explicitly prevented from routing into the sandbox via policy controls, reducing exposure to third-party systems, unless </w:t>
      </w:r>
      <w:r w:rsidDel="00000000" w:rsidR="00000000" w:rsidRPr="00000000">
        <w:rPr>
          <w:rFonts w:ascii="Times New Roman" w:cs="Times New Roman" w:eastAsia="Times New Roman" w:hAnsi="Times New Roman"/>
          <w:sz w:val="24"/>
          <w:szCs w:val="24"/>
          <w:rtl w:val="0"/>
        </w:rPr>
        <w:t xml:space="preserve">explicitly granted routing and permissions by the network admins via bastion host. </w:t>
      </w:r>
    </w:p>
    <w:p w:rsidR="00000000" w:rsidDel="00000000" w:rsidP="00000000" w:rsidRDefault="00000000" w:rsidRPr="00000000" w14:paraId="0000004B">
      <w:pPr>
        <w:numPr>
          <w:ilvl w:val="2"/>
          <w:numId w:val="1"/>
        </w:numPr>
        <w:spacing w:after="40" w:before="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Bastion host requirements are necessary for accessing the VPC, except when using the AWS CloudShell Command Line Interface (CLI), which then requires MFA into the AWS console.</w:t>
      </w:r>
    </w:p>
    <w:p w:rsidR="00000000" w:rsidDel="00000000" w:rsidP="00000000" w:rsidRDefault="00000000" w:rsidRPr="00000000" w14:paraId="0000004C">
      <w:pPr>
        <w:numPr>
          <w:ilvl w:val="2"/>
          <w:numId w:val="1"/>
        </w:numPr>
        <w:spacing w:after="40" w:before="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Fortinet Firewalls are confined to the ERAV-based IP address.</w:t>
      </w:r>
    </w:p>
    <w:p w:rsidR="00000000" w:rsidDel="00000000" w:rsidP="00000000" w:rsidRDefault="00000000" w:rsidRPr="00000000" w14:paraId="0000004D">
      <w:pPr>
        <w:spacing w:after="40"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40"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40"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b w:val="1"/>
          <w:bCs w:val="1"/>
          <w:color w:val="ff0000"/>
          <w:sz w:val="28"/>
          <w:szCs w:val="28"/>
          <w:u w:val="single"/>
        </w:rPr>
      </w:pPr>
      <w:r w:rsidDel="00000000" w:rsidR="00000000" w:rsidRPr="00000000">
        <w:rPr>
          <w:rtl w:val="0"/>
        </w:rPr>
      </w:r>
    </w:p>
    <w:tbl>
      <w:tblPr>
        <w:tblStyle w:val="Table3"/>
        <w:tblW w:w="8405.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6695"/>
        <w:tblGridChange w:id="0">
          <w:tblGrid>
            <w:gridCol w:w="1710"/>
            <w:gridCol w:w="6695"/>
          </w:tblGrid>
        </w:tblGridChange>
      </w:tblGrid>
      <w:tr>
        <w:trPr>
          <w:cantSplit w:val="0"/>
          <w:trHeight w:val="1196" w:hRule="atLeast"/>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51">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AO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76" w:lineRule="auto"/>
              <w:rPr>
                <w:rFonts w:ascii="Times New Roman" w:cs="Times New Roman" w:eastAsia="Times New Roman" w:hAnsi="Times New Roman"/>
                <w:sz w:val="20"/>
                <w:szCs w:val="20"/>
              </w:rPr>
            </w:pPr>
            <w:sdt>
              <w:sdtPr>
                <w:id w:val="1137334949"/>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ACCEPT</w:t>
            </w:r>
          </w:p>
          <w:p w:rsidR="00000000" w:rsidDel="00000000" w:rsidP="00000000" w:rsidRDefault="00000000" w:rsidRPr="00000000" w14:paraId="00000053">
            <w:pPr>
              <w:spacing w:after="0" w:line="276" w:lineRule="auto"/>
              <w:rPr>
                <w:rFonts w:ascii="Times New Roman" w:cs="Times New Roman" w:eastAsia="Times New Roman" w:hAnsi="Times New Roman"/>
                <w:sz w:val="20"/>
                <w:szCs w:val="20"/>
              </w:rPr>
            </w:pPr>
            <w:sdt>
              <w:sdtPr>
                <w:id w:val="329775421"/>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DECLINE [AO declines request and provides reason below]</w:t>
            </w:r>
          </w:p>
          <w:p w:rsidR="00000000" w:rsidDel="00000000" w:rsidP="00000000" w:rsidRDefault="00000000" w:rsidRPr="00000000" w14:paraId="00000054">
            <w:pPr>
              <w:spacing w:after="0" w:line="276" w:lineRule="auto"/>
              <w:rPr>
                <w:rFonts w:ascii="Times New Roman" w:cs="Times New Roman" w:eastAsia="Times New Roman" w:hAnsi="Times New Roman"/>
              </w:rPr>
            </w:pPr>
            <w:sdt>
              <w:sdtPr>
                <w:id w:val="-749993046"/>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DEFER [AO needs additional information and provides items for                              research or clarification below]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55">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20" w:before="1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7">
      <w:pPr>
        <w:spacing w:after="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i w:val="1"/>
          <w:iCs w:val="1"/>
          <w:rtl w:val="0"/>
        </w:rPr>
        <w:t xml:space="preserve">AO Validation:</w:t>
      </w:r>
      <w:r w:rsidDel="00000000" w:rsidR="00000000" w:rsidRPr="00000000">
        <w:rPr>
          <w:i w:val="1"/>
          <w:iCs w:val="1"/>
          <w:rtl w:val="0"/>
        </w:rPr>
        <w:t xml:space="preserve"> _________________________________________________________</w:t>
      </w:r>
      <w:r w:rsidDel="00000000" w:rsidR="00000000" w:rsidRPr="00000000">
        <w:rPr>
          <w:rtl w:val="0"/>
        </w:rPr>
      </w:r>
    </w:p>
    <w:p w:rsidR="00000000" w:rsidDel="00000000" w:rsidP="00000000" w:rsidRDefault="00000000" w:rsidRPr="00000000" w14:paraId="0000005A">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Nancy Majorwer</w:t>
      </w:r>
    </w:p>
    <w:p w:rsidR="00000000" w:rsidDel="00000000" w:rsidP="00000000" w:rsidRDefault="00000000" w:rsidRPr="00000000" w14:paraId="0000005B">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NOAA Chief Information Officer and Director,</w:t>
      </w:r>
    </w:p>
    <w:p w:rsidR="00000000" w:rsidDel="00000000" w:rsidP="00000000" w:rsidRDefault="00000000" w:rsidRPr="00000000" w14:paraId="0000005C">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 Computing and Communications (Acting)</w:t>
      </w:r>
    </w:p>
    <w:p w:rsidR="00000000" w:rsidDel="00000000" w:rsidP="00000000" w:rsidRDefault="00000000" w:rsidRPr="00000000" w14:paraId="0000005D">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1620"/>
        </w:tabs>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b w:val="1"/>
          <w:bCs w:val="1"/>
          <w:color w:val="ff0000"/>
          <w:sz w:val="28"/>
          <w:szCs w:val="28"/>
          <w:u w:val="single"/>
        </w:rPr>
      </w:pPr>
      <w:r w:rsidDel="00000000" w:rsidR="00000000" w:rsidRPr="00000000">
        <w:rPr>
          <w:rtl w:val="0"/>
        </w:rPr>
      </w:r>
    </w:p>
    <w:tbl>
      <w:tblPr>
        <w:tblStyle w:val="Table4"/>
        <w:tblW w:w="8405.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6695"/>
        <w:tblGridChange w:id="0">
          <w:tblGrid>
            <w:gridCol w:w="1710"/>
            <w:gridCol w:w="6695"/>
          </w:tblGrid>
        </w:tblGridChange>
      </w:tblGrid>
      <w:tr>
        <w:trPr>
          <w:cantSplit w:val="0"/>
          <w:trHeight w:val="1196" w:hRule="atLeast"/>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61">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CO-AO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76" w:lineRule="auto"/>
              <w:rPr>
                <w:rFonts w:ascii="Times New Roman" w:cs="Times New Roman" w:eastAsia="Times New Roman" w:hAnsi="Times New Roman"/>
                <w:sz w:val="20"/>
                <w:szCs w:val="20"/>
              </w:rPr>
            </w:pPr>
            <w:sdt>
              <w:sdtPr>
                <w:id w:val="-1774213768"/>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ACCEPT</w:t>
            </w:r>
          </w:p>
          <w:p w:rsidR="00000000" w:rsidDel="00000000" w:rsidP="00000000" w:rsidRDefault="00000000" w:rsidRPr="00000000" w14:paraId="00000063">
            <w:pPr>
              <w:spacing w:after="0" w:line="276" w:lineRule="auto"/>
              <w:rPr>
                <w:rFonts w:ascii="Times New Roman" w:cs="Times New Roman" w:eastAsia="Times New Roman" w:hAnsi="Times New Roman"/>
                <w:sz w:val="20"/>
                <w:szCs w:val="20"/>
              </w:rPr>
            </w:pPr>
            <w:sdt>
              <w:sdtPr>
                <w:id w:val="1502574039"/>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DECLINE [AO declines request and provides reason below]</w:t>
            </w:r>
          </w:p>
          <w:p w:rsidR="00000000" w:rsidDel="00000000" w:rsidP="00000000" w:rsidRDefault="00000000" w:rsidRPr="00000000" w14:paraId="00000064">
            <w:pPr>
              <w:spacing w:after="0" w:line="276" w:lineRule="auto"/>
              <w:rPr>
                <w:rFonts w:ascii="Times New Roman" w:cs="Times New Roman" w:eastAsia="Times New Roman" w:hAnsi="Times New Roman"/>
              </w:rPr>
            </w:pPr>
            <w:sdt>
              <w:sdtPr>
                <w:id w:val="1794934683"/>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DEFER [AO needs additional information and provides items for                              research or clarification below]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65">
            <w:pP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120" w:before="1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i w:val="1"/>
          <w:iCs w:val="1"/>
          <w:rtl w:val="0"/>
        </w:rPr>
        <w:t xml:space="preserve">Co-AO Validation:</w:t>
      </w:r>
      <w:r w:rsidDel="00000000" w:rsidR="00000000" w:rsidRPr="00000000">
        <w:rPr>
          <w:i w:val="1"/>
          <w:iCs w:val="1"/>
          <w:rtl w:val="0"/>
        </w:rPr>
        <w:t xml:space="preserve"> _________________________________________________________</w:t>
      </w:r>
      <w:r w:rsidDel="00000000" w:rsidR="00000000" w:rsidRPr="00000000">
        <w:rPr>
          <w:rtl w:val="0"/>
        </w:rPr>
      </w:r>
    </w:p>
    <w:p w:rsidR="00000000" w:rsidDel="00000000" w:rsidP="00000000" w:rsidRDefault="00000000" w:rsidRPr="00000000" w14:paraId="0000006A">
      <w:pPr>
        <w:spacing w:after="0" w:lineRule="auto"/>
        <w:ind w:left="1440" w:firstLine="0"/>
        <w:rPr>
          <w:rFonts w:ascii="Times New Roman" w:cs="Times New Roman" w:eastAsia="Times New Roman" w:hAnsi="Times New Roman"/>
          <w:sz w:val="24"/>
          <w:szCs w:val="24"/>
        </w:rPr>
      </w:pPr>
      <w:bookmarkStart w:colFirst="0" w:colLast="0" w:name="_heading=h.w9n1yep7t825" w:id="2"/>
      <w:bookmarkEnd w:id="2"/>
      <w:r w:rsidDel="00000000" w:rsidR="00000000" w:rsidRPr="00000000">
        <w:rPr>
          <w:rFonts w:ascii="Times New Roman" w:cs="Times New Roman" w:eastAsia="Times New Roman" w:hAnsi="Times New Roman"/>
          <w:sz w:val="24"/>
          <w:szCs w:val="24"/>
          <w:rtl w:val="0"/>
        </w:rPr>
        <w:t xml:space="preserve">Manan Dalal</w:t>
      </w:r>
    </w:p>
    <w:p w:rsidR="00000000" w:rsidDel="00000000" w:rsidP="00000000" w:rsidRDefault="00000000" w:rsidRPr="00000000" w14:paraId="0000006B">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Assistant Chief Information Officer - Satellites</w:t>
      </w:r>
    </w:p>
    <w:p w:rsidR="00000000" w:rsidDel="00000000" w:rsidP="00000000" w:rsidRDefault="00000000" w:rsidRPr="00000000" w14:paraId="0000006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AODR Validation:</w:t>
      </w:r>
      <w:r w:rsidDel="00000000" w:rsidR="00000000" w:rsidRPr="00000000">
        <w:rPr>
          <w:i w:val="1"/>
          <w:iCs w:val="1"/>
          <w:rtl w:val="0"/>
        </w:rPr>
        <w:t xml:space="preserve"> _________________________________________________________</w:t>
      </w:r>
      <w:r w:rsidDel="00000000" w:rsidR="00000000" w:rsidRPr="00000000">
        <w:rPr>
          <w:rtl w:val="0"/>
        </w:rPr>
      </w:r>
    </w:p>
    <w:p w:rsidR="00000000" w:rsidDel="00000000" w:rsidP="00000000" w:rsidRDefault="00000000" w:rsidRPr="00000000" w14:paraId="00000070">
      <w:pPr>
        <w:ind w:left="1440" w:firstLine="0"/>
        <w:rPr>
          <w:sz w:val="20"/>
          <w:szCs w:val="20"/>
        </w:rPr>
      </w:pPr>
      <w:r w:rsidDel="00000000" w:rsidR="00000000" w:rsidRPr="00000000">
        <w:rPr>
          <w:rFonts w:ascii="Times New Roman" w:cs="Times New Roman" w:eastAsia="Times New Roman" w:hAnsi="Times New Roman"/>
          <w:sz w:val="24"/>
          <w:szCs w:val="24"/>
          <w:rtl w:val="0"/>
        </w:rPr>
        <w:t xml:space="preserve">Glenn Dumproff</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Official Designated Representative (AODR)</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anchor allowOverlap="1" behindDoc="0" distB="0" distT="0" distL="114300" distR="114300" hidden="0" layoutInCell="1" locked="0" relativeHeight="0" simplePos="0">
          <wp:simplePos x="0" y="0"/>
          <wp:positionH relativeFrom="page">
            <wp:posOffset>2857500</wp:posOffset>
          </wp:positionH>
          <wp:positionV relativeFrom="page">
            <wp:posOffset>119063</wp:posOffset>
          </wp:positionV>
          <wp:extent cx="850900" cy="85090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0900" cy="85090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3824288</wp:posOffset>
              </wp:positionH>
              <wp:positionV relativeFrom="page">
                <wp:posOffset>157163</wp:posOffset>
              </wp:positionV>
              <wp:extent cx="3719361" cy="774700"/>
              <wp:effectExtent b="0" l="0" r="0" t="0"/>
              <wp:wrapNone/>
              <wp:docPr id="5" name=""/>
              <a:graphic>
                <a:graphicData uri="http://schemas.microsoft.com/office/word/2010/wordprocessingShape">
                  <wps:wsp>
                    <wps:cNvSpPr/>
                    <wps:cNvPr id="2" name="Shape 2"/>
                    <wps:spPr>
                      <a:xfrm>
                        <a:off x="3505370" y="3411700"/>
                        <a:ext cx="3681261" cy="736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1"/>
                              <w:strike w:val="0"/>
                              <w:color w:val="000080"/>
                              <w:sz w:val="16"/>
                              <w:vertAlign w:val="baseline"/>
                            </w:rPr>
                            <w:t xml:space="preserve">UNITED STATES DEPARTMENT OF COMMERCE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1"/>
                              <w:strike w:val="0"/>
                              <w:color w:val="000080"/>
                              <w:sz w:val="16"/>
                              <w:vertAlign w:val="baseline"/>
                            </w:rPr>
                          </w:r>
                          <w:r w:rsidDel="00000000" w:rsidR="00000000" w:rsidRPr="00000000">
                            <w:rPr>
                              <w:rFonts w:ascii="Century Gothic" w:cs="Century Gothic" w:eastAsia="Century Gothic" w:hAnsi="Century Gothic"/>
                              <w:b w:val="1"/>
                              <w:i w:val="0"/>
                              <w:smallCaps w:val="0"/>
                              <w:strike w:val="0"/>
                              <w:color w:val="000080"/>
                              <w:sz w:val="16"/>
                              <w:vertAlign w:val="baseline"/>
                            </w:rPr>
                            <w:t xml:space="preserve">National Oceanic and Atmospheric 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80"/>
                              <w:sz w:val="16"/>
                              <w:vertAlign w:val="baseline"/>
                            </w:rPr>
                          </w:r>
                          <w:r w:rsidDel="00000000" w:rsidR="00000000" w:rsidRPr="00000000">
                            <w:rPr>
                              <w:rFonts w:ascii="Century Gothic" w:cs="Century Gothic" w:eastAsia="Century Gothic" w:hAnsi="Century Gothic"/>
                              <w:b w:val="0"/>
                              <w:i w:val="0"/>
                              <w:smallCaps w:val="0"/>
                              <w:strike w:val="0"/>
                              <w:color w:val="000080"/>
                              <w:sz w:val="16"/>
                              <w:vertAlign w:val="baseline"/>
                            </w:rPr>
                            <w:t xml:space="preserve">NATIONAL ENVIRONMENTAL SATELLITE, DATA AND INFORMATION SERVICE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80"/>
                              <w:sz w:val="16"/>
                              <w:vertAlign w:val="baseline"/>
                            </w:rPr>
                          </w:r>
                          <w:r w:rsidDel="00000000" w:rsidR="00000000" w:rsidRPr="00000000">
                            <w:rPr>
                              <w:rFonts w:ascii="Century Gothic" w:cs="Century Gothic" w:eastAsia="Century Gothic" w:hAnsi="Century Gothic"/>
                              <w:b w:val="0"/>
                              <w:i w:val="0"/>
                              <w:smallCaps w:val="0"/>
                              <w:strike w:val="0"/>
                              <w:color w:val="000080"/>
                              <w:sz w:val="16"/>
                              <w:vertAlign w:val="baseline"/>
                            </w:rPr>
                            <w:t xml:space="preserve">Silver Spring, Maryland 20910</w:t>
                          </w:r>
                        </w:p>
                      </w:txbxContent>
                    </wps:txbx>
                    <wps:bodyPr anchorCtr="0" anchor="t" bIns="457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3824288</wp:posOffset>
              </wp:positionH>
              <wp:positionV relativeFrom="page">
                <wp:posOffset>157163</wp:posOffset>
              </wp:positionV>
              <wp:extent cx="3719361" cy="774700"/>
              <wp:effectExtent b="0" l="0" r="0" t="0"/>
              <wp:wrapNone/>
              <wp:docPr id="5"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719361" cy="774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CommentReference">
    <w:name w:val="annotation reference"/>
    <w:basedOn w:val="DefaultParagraphFont"/>
    <w:uiPriority w:val="99"/>
    <w:semiHidden w:val="1"/>
    <w:unhideWhenUsed w:val="1"/>
    <w:rsid w:val="00C4185B"/>
    <w:rPr>
      <w:sz w:val="16"/>
      <w:szCs w:val="16"/>
    </w:rPr>
  </w:style>
  <w:style w:type="paragraph" w:styleId="CommentText">
    <w:name w:val="annotation text"/>
    <w:basedOn w:val="Normal"/>
    <w:link w:val="CommentTextChar"/>
    <w:uiPriority w:val="99"/>
    <w:semiHidden w:val="1"/>
    <w:unhideWhenUsed w:val="1"/>
    <w:rsid w:val="00C4185B"/>
    <w:pPr>
      <w:spacing w:line="240" w:lineRule="auto"/>
    </w:pPr>
    <w:rPr>
      <w:sz w:val="20"/>
      <w:szCs w:val="20"/>
    </w:rPr>
  </w:style>
  <w:style w:type="character" w:styleId="CommentTextChar" w:customStyle="1">
    <w:name w:val="Comment Text Char"/>
    <w:basedOn w:val="DefaultParagraphFont"/>
    <w:link w:val="CommentText"/>
    <w:uiPriority w:val="99"/>
    <w:semiHidden w:val="1"/>
    <w:rsid w:val="00C4185B"/>
    <w:rPr>
      <w:sz w:val="20"/>
      <w:szCs w:val="20"/>
    </w:rPr>
  </w:style>
  <w:style w:type="paragraph" w:styleId="CommentSubject">
    <w:name w:val="annotation subject"/>
    <w:basedOn w:val="CommentText"/>
    <w:next w:val="CommentText"/>
    <w:link w:val="CommentSubjectChar"/>
    <w:uiPriority w:val="99"/>
    <w:semiHidden w:val="1"/>
    <w:unhideWhenUsed w:val="1"/>
    <w:rsid w:val="00C4185B"/>
    <w:rPr>
      <w:b w:val="1"/>
      <w:bCs w:val="1"/>
    </w:rPr>
  </w:style>
  <w:style w:type="character" w:styleId="CommentSubjectChar" w:customStyle="1">
    <w:name w:val="Comment Subject Char"/>
    <w:basedOn w:val="CommentTextChar"/>
    <w:link w:val="CommentSubject"/>
    <w:uiPriority w:val="99"/>
    <w:semiHidden w:val="1"/>
    <w:rsid w:val="00C4185B"/>
    <w:rPr>
      <w:b w:val="1"/>
      <w:bCs w:val="1"/>
      <w:sz w:val="20"/>
      <w:szCs w:val="20"/>
    </w:rPr>
  </w:style>
  <w:style w:type="paragraph" w:styleId="BalloonText">
    <w:name w:val="Balloon Text"/>
    <w:basedOn w:val="Normal"/>
    <w:link w:val="BalloonTextChar"/>
    <w:uiPriority w:val="99"/>
    <w:semiHidden w:val="1"/>
    <w:unhideWhenUsed w:val="1"/>
    <w:rsid w:val="00C4185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4185B"/>
    <w:rPr>
      <w:rFonts w:ascii="Segoe UI" w:cs="Segoe UI" w:hAnsi="Segoe UI"/>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9zfAnLf/rSS13w/Tkkyd0eVln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OaC56ZHV4MGJzZmZvcDYyDmgudmF3czd1Y2h5YmJ1Mg5oLnc5bjF5ZXA3dDgyNTgAciExakpYczZEeTFiWGhvZXhONkg0R3BMekNIY3lYeFRrd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2025-04-07T02:32:00Z</dcterms:created>
  <dc:creator>Kalu, Victor (GSFC-4160)[NOAA]</dc:creator>
</cp:coreProperties>
</file>