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120"/>
          <w:sz w:val="44"/>
        </w:rPr>
        <w:t>SOPRA — Automated ISSO Functions</w:t>
      </w:r>
    </w:p>
    <w:p>
      <w:pPr>
        <w:jc w:val="center"/>
      </w:pPr>
      <w:r>
        <w:rPr>
          <w:color w:val="4A6A8A"/>
          <w:sz w:val="26"/>
        </w:rPr>
        <w:t>Manual Tasks Eliminated Through Automation</w:t>
      </w:r>
    </w:p>
    <w:p>
      <w:pPr>
        <w:jc w:val="center"/>
      </w:pPr>
      <w:r>
        <w:rPr>
          <w:color w:val="7A8A9A"/>
          <w:sz w:val="20"/>
        </w:rPr>
        <w:t>Prepared: February 10, 2026</w:t>
      </w:r>
    </w:p>
    <w:p/>
    <w:p>
      <w:r>
        <w:rPr>
          <w:b/>
        </w:rPr>
        <w:t xml:space="preserve">Purpose: </w:t>
      </w:r>
      <w:r>
        <w:t>This document catalogs the manual ISSO tasks that SOPRA (SAE On-Premise Risk Assessment) now handles automatically through AI-powered automation and rule-based processing. Each row represents a real-world task that previously required significant manual effort during every ATO cycle, continuous monitoring period, or audit preparation.</w:t>
      </w:r>
    </w:p>
    <w:p>
      <w:r>
        <w:rPr>
          <w:b/>
        </w:rPr>
        <w:t xml:space="preserve">Estimated total manual effort replaced: </w:t>
      </w:r>
      <w:r>
        <w:rPr>
          <w:b/>
          <w:color w:val="008040"/>
        </w:rPr>
        <w:t>150–300+ hours per ATO cycle.</w:t>
      </w:r>
    </w:p>
    <w:p/>
    <w:p>
      <w:r>
        <w:rPr>
          <w:b/>
          <w:color w:val="0B3D6E"/>
          <w:sz w:val="26"/>
        </w:rPr>
        <w:t>AI-Powered Automation (AWS Bedrock)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 Task (Before SOPRA)</w:t>
            </w:r>
          </w:p>
        </w:tc>
        <w:tc>
          <w:tcPr>
            <w:tcW w:type="dxa" w:w="113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Effort</w:t>
            </w:r>
          </w:p>
        </w:tc>
        <w:tc>
          <w:tcPr>
            <w:tcW w:type="dxa" w:w="5102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SOPRA Automation (After)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Write POA&amp;M entries for every failed control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8–16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AI auto-generates complete POA&amp;M entries from scan results — milestones, due dates, responsible parties, and risk levels — in seconds.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Draft risk acceptance justifications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 each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drafts the justification, compensating controls, residual risk assessment, and recommended expiry date.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Write SSP control implementation narratives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40–80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AI generates all 200 control narratives and embeds them directly into the exported SSP document.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Classify controls as Inherited, Common, or System-Specific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auto-classifies all controls with rationale based on control type, category, and organizational context.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Map STIG scan results to assessment controls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AI auto-maps imported STIG findings to SOPRA controls with confidence scores.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Correlate security incidents to failed controls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hrs/incident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uses NLP to analyze incident descriptions and suggest which controls are related.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Determine assessment frequency per category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AI analyzes failure rates and severity profiles to recommend optimal reassessment cadence.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Write approval package summaries for the AO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 each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drafts the summary, pulling context from POA&amp;Ms, risk acceptances, and assessment results.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Review evidence artifacts for audit sufficiency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1–2 hrs/control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AI analyzes each artifact against control requirements and flags coverage gaps.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Research remediation impacts before changes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hrs/change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change impact analysis identifies affected systems, downtime risk, and rollback procedures.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Create remediation tickets in ServiceNow/Jira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30–60 min each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Auto-generated ticket content with priority, description, steps, and acceptance criteria.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Ask questions about security posture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Variable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assistant (Chad) answers natural language questions using live assessment data and generates charts.</w:t>
            </w:r>
          </w:p>
        </w:tc>
      </w:tr>
    </w:tbl>
    <w:p/>
    <w:p>
      <w:r>
        <w:rPr>
          <w:b/>
          <w:color w:val="0B3D6E"/>
          <w:sz w:val="26"/>
        </w:rPr>
        <w:t>Automated Document &amp; Report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 Task (Before SOPRA)</w:t>
            </w:r>
          </w:p>
        </w:tc>
        <w:tc>
          <w:tcPr>
            <w:tcW w:type="dxa" w:w="113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Effort</w:t>
            </w:r>
          </w:p>
        </w:tc>
        <w:tc>
          <w:tcPr>
            <w:tcW w:type="dxa" w:w="5102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SOPRA Automation (After)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Build a System Security Plan from scratch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20–40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One-click SSP generation with findings, NIST 800-53 mappings, risk scores, and system description.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Compile executive reports and compliance charts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One-click report generation with auto-built charts, exportable to .docx.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Format and submit POA&amp;M documents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Auto-generates formatted POA&amp;M exports in .docx and .csv.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Build NIST 800-53 and CIS crosswalk spreadsheets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8–16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Bidirectional crosswalk auto-generated with live pass/fail status, exportable to CSV.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Write PowerShell scripts to collect evidence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8–16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Auto-generated data collection scripts for AD, endpoints, network, and all 20 categories.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Create blank data collection templates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CSV templates auto-generated per category with correct column headers and field definitions.</w:t>
            </w:r>
          </w:p>
        </w:tc>
      </w:tr>
    </w:tbl>
    <w:p/>
    <w:p>
      <w:r>
        <w:rPr>
          <w:b/>
          <w:color w:val="0B3D6E"/>
          <w:sz w:val="26"/>
        </w:rPr>
        <w:t>Automated Tracking,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 Task (Before SOPRA)</w:t>
            </w:r>
          </w:p>
        </w:tc>
        <w:tc>
          <w:tcPr>
            <w:tcW w:type="dxa" w:w="113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Effort</w:t>
            </w:r>
          </w:p>
        </w:tc>
        <w:tc>
          <w:tcPr>
            <w:tcW w:type="dxa" w:w="5102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SOPRA Automation (After)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Track POA&amp;M due dates and flag overdue items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Ongoing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Automatic overdue detection with visual alerts and status updates.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Track risk acceptance expirations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Ongoing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Auto-flags expired risk acceptances requiring renewal or re-authorization.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Monitor compliance trends over time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hrs/month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Continuous Monitoring dashboard auto-tracks deltas, regressions, and improvements between assessments.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Compile continuous monitoring reports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hrs/month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ConMon dashboard auto-generates with threat level, category status, severity breakdown, and change summary.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Track which remediations worked vs. failed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Ongoing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Automated remediation success/failure tracking with continuous learning.</w:t>
            </w:r>
          </w:p>
        </w:tc>
      </w:tr>
    </w:tbl>
    <w:p/>
    <w:p>
      <w:r>
        <w:rPr>
          <w:b/>
          <w:color w:val="0B3D6E"/>
          <w:sz w:val="26"/>
        </w:rPr>
        <w:t>Automated Calculation &amp;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Manual Task (Before SOPRA)</w:t>
            </w:r>
          </w:p>
        </w:tc>
        <w:tc>
          <w:tcPr>
            <w:tcW w:type="dxa" w:w="1134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Effort</w:t>
            </w:r>
          </w:p>
        </w:tc>
        <w:tc>
          <w:tcPr>
            <w:tcW w:type="dxa" w:w="5102"/>
            <w:shd w:fill="0B3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SOPRA Automation (After)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Calculate risk scores across all controls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Automatic severity-weighted risk scoring across 200 controls, updated in real time.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Determine which controls apply at each FIPS 199 level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FIPS 199 selector auto-filters the control baseline — Low (80), Moderate (145), High (200).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Cross-reference findings to NIST and CIS frameworks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8–16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Pre-built bidirectional crosswalk updates live with assessment status and coverage statistics.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Process uploaded scan data and CSV files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2–4 hrs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Bulk CSV ingestion with column auto-detection — upload files, SOPRA does the rest.</w:t>
            </w:r>
          </w:p>
        </w:tc>
      </w:tr>
      <w:tr>
        <w:tc>
          <w:tcPr>
            <w:tcW w:type="dxa" w:w="454"/>
            <w:shd w:fill="EBF5FB" w:val="clear"/>
          </w:tcPr>
          <w:p>
            <w:pPr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3118"/>
            <w:shd w:fill="EBF5FB" w:val="clear"/>
          </w:tcPr>
          <w:p>
            <w:r>
              <w:rPr>
                <w:sz w:val="18"/>
              </w:rPr>
              <w:t>Write remediation steps for each failed control</w:t>
            </w:r>
          </w:p>
        </w:tc>
        <w:tc>
          <w:tcPr>
            <w:tcW w:type="dxa" w:w="1134"/>
            <w:shd w:fill="EBF5FB" w:val="clear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4–8 hrs</w:t>
            </w:r>
          </w:p>
        </w:tc>
        <w:tc>
          <w:tcPr>
            <w:tcW w:type="dxa" w:w="5102"/>
            <w:shd w:fill="EBF5FB" w:val="clear"/>
          </w:tcPr>
          <w:p>
            <w:r>
              <w:rPr>
                <w:sz w:val="18"/>
              </w:rPr>
              <w:t>Pre-built remediation guidance for all 200 controls plus AI-generated custom remediation plans.</w:t>
            </w:r>
          </w:p>
        </w:tc>
      </w:tr>
    </w:tbl>
    <w:p/>
    <w:p/>
    <w:p>
      <w:r>
        <w:rPr>
          <w:b/>
          <w:color w:val="0B3D6E"/>
          <w:sz w:val="26"/>
        </w:rPr>
        <w:t>Summary</w:t>
      </w:r>
    </w:p>
    <w:p>
      <w:pPr>
        <w:pStyle w:val="ListBullet"/>
      </w:pPr>
      <w:r>
        <w:rPr>
          <w:sz w:val="20"/>
        </w:rPr>
        <w:t>28 manual ISSO tasks automated across the full ATO lifecycle</w:t>
      </w:r>
    </w:p>
    <w:p>
      <w:pPr>
        <w:pStyle w:val="ListBullet"/>
      </w:pPr>
      <w:r>
        <w:rPr>
          <w:sz w:val="20"/>
        </w:rPr>
        <w:t>12 AI-powered features using AWS Bedrock for intelligent automation</w:t>
      </w:r>
    </w:p>
    <w:p>
      <w:pPr>
        <w:pStyle w:val="ListBullet"/>
      </w:pPr>
      <w:r>
        <w:rPr>
          <w:sz w:val="20"/>
        </w:rPr>
        <w:t>16 rule-based automations for calculations, tracking, and document generation</w:t>
      </w:r>
    </w:p>
    <w:p>
      <w:pPr>
        <w:pStyle w:val="ListBullet"/>
      </w:pPr>
      <w:r>
        <w:rPr>
          <w:sz w:val="20"/>
        </w:rPr>
        <w:t>Estimated 150–300+ hours of manual effort eliminated per ATO cycle</w:t>
      </w:r>
    </w:p>
    <w:p>
      <w:pPr>
        <w:pStyle w:val="ListBullet"/>
      </w:pPr>
      <w:r>
        <w:rPr>
          <w:sz w:val="20"/>
        </w:rPr>
        <w:t>All outputs are exportable (.docx, .csv) for audit submission and leadership review</w:t>
      </w:r>
    </w:p>
    <w:p>
      <w:pPr>
        <w:pStyle w:val="ListBullet"/>
      </w:pPr>
      <w:r>
        <w:rPr>
          <w:sz w:val="20"/>
        </w:rPr>
        <w:t>Continuous monitoring runs automatically — no manual report compilation required</w:t>
      </w:r>
    </w:p>
    <w:p/>
    <w:p>
      <w:pPr>
        <w:jc w:val="center"/>
      </w:pPr>
      <w:r>
        <w:rPr>
          <w:i/>
          <w:color w:val="4A6A8A"/>
          <w:sz w:val="22"/>
        </w:rPr>
        <w:t>SOPRA — Making the ISSO's job faster, not harder.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