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65E39" w14:textId="26718219" w:rsidR="00066A57" w:rsidRPr="0081499F" w:rsidRDefault="00996197" w:rsidP="0081499F">
      <w:pPr>
        <w:jc w:val="center"/>
        <w:rPr>
          <w:sz w:val="32"/>
          <w:szCs w:val="32"/>
        </w:rPr>
      </w:pPr>
      <w:r>
        <w:rPr>
          <w:sz w:val="32"/>
          <w:szCs w:val="32"/>
        </w:rPr>
        <w:t>Rapport d’avancement n°7</w:t>
      </w:r>
    </w:p>
    <w:p w14:paraId="1DCFDECB" w14:textId="7B1E8547" w:rsidR="0081499F" w:rsidRDefault="00996197" w:rsidP="0081499F">
      <w:pPr>
        <w:jc w:val="center"/>
        <w:rPr>
          <w:sz w:val="28"/>
          <w:szCs w:val="28"/>
        </w:rPr>
      </w:pPr>
      <w:r>
        <w:rPr>
          <w:sz w:val="28"/>
          <w:szCs w:val="28"/>
        </w:rPr>
        <w:t>23</w:t>
      </w:r>
      <w:r w:rsidR="00CA503F">
        <w:rPr>
          <w:sz w:val="28"/>
          <w:szCs w:val="28"/>
        </w:rPr>
        <w:t>/03</w:t>
      </w:r>
      <w:r w:rsidR="0081499F" w:rsidRPr="0081499F">
        <w:rPr>
          <w:sz w:val="28"/>
          <w:szCs w:val="28"/>
        </w:rPr>
        <w:t>/2018</w:t>
      </w:r>
    </w:p>
    <w:p w14:paraId="1440BB92" w14:textId="1268864A" w:rsidR="0081499F" w:rsidRDefault="0081499F" w:rsidP="0081499F">
      <w:pPr>
        <w:jc w:val="center"/>
        <w:rPr>
          <w:sz w:val="28"/>
          <w:szCs w:val="28"/>
        </w:rPr>
      </w:pPr>
    </w:p>
    <w:p w14:paraId="4EF48BD7" w14:textId="4C590D14" w:rsidR="0081499F" w:rsidRDefault="0081499F" w:rsidP="0081499F">
      <w:pPr>
        <w:pStyle w:val="Titre1"/>
      </w:pPr>
      <w:r>
        <w:t>Tâches réalisées au cours de cette dernière semaine</w:t>
      </w:r>
    </w:p>
    <w:p w14:paraId="5CA0F5C1" w14:textId="7EF8BAE5" w:rsidR="00F00D23" w:rsidRDefault="00F00D23" w:rsidP="00996197">
      <w:pPr>
        <w:jc w:val="both"/>
      </w:pPr>
    </w:p>
    <w:p w14:paraId="2726D815" w14:textId="3F453EDD" w:rsidR="00996197" w:rsidRDefault="00996197" w:rsidP="00996197">
      <w:pPr>
        <w:jc w:val="both"/>
      </w:pPr>
      <w:r>
        <w:t>Cette dernière semaine a été pour nous l’occasion de finaliser le projet. Nous avons donc pris le soin de tester toutes les fonctionnalités de l’application ainsi que de modifier les quelques points de l’interface que nous devions changer comme quelques labels qui devaient être plus précis ou bien des objets ‘</w:t>
      </w:r>
      <w:proofErr w:type="spellStart"/>
      <w:r>
        <w:t>Whatsthis</w:t>
      </w:r>
      <w:proofErr w:type="spellEnd"/>
      <w:r>
        <w:t>’ à remplir.</w:t>
      </w:r>
    </w:p>
    <w:p w14:paraId="49FE6D0B" w14:textId="5052358F" w:rsidR="00996197" w:rsidRDefault="00996197" w:rsidP="00996197">
      <w:pPr>
        <w:jc w:val="both"/>
      </w:pPr>
      <w:r>
        <w:t xml:space="preserve">Nous avons également créé </w:t>
      </w:r>
      <w:r w:rsidR="00C00D05">
        <w:t>un exécutable de notre projet afin de pouvoir le distribuer le plus facilement possible et pour l’accompagner nous avons rédiger un guide d’utilisation. Ce guide d’utilisation fait suite au premier guide d’utilisation rédiger lors du projet d’application et vient donner des explications aux nouveaux modules présents dans notre application.</w:t>
      </w:r>
    </w:p>
    <w:p w14:paraId="70BC50EF" w14:textId="70221AD5" w:rsidR="00C00D05" w:rsidRDefault="00C00D05" w:rsidP="00996197">
      <w:pPr>
        <w:jc w:val="both"/>
      </w:pPr>
      <w:r>
        <w:t xml:space="preserve">Enfin, la dernière version de l’application fonctionne sous </w:t>
      </w:r>
      <w:proofErr w:type="spellStart"/>
      <w:r>
        <w:t>MacOS</w:t>
      </w:r>
      <w:proofErr w:type="spellEnd"/>
      <w:r>
        <w:t xml:space="preserve"> et il ne restera plus qu’à en faire un exécutable.</w:t>
      </w:r>
    </w:p>
    <w:p w14:paraId="7EA5743B" w14:textId="47264A35" w:rsidR="0081499F" w:rsidRDefault="0081499F" w:rsidP="0081499F">
      <w:pPr>
        <w:pStyle w:val="Titre1"/>
      </w:pPr>
      <w:r>
        <w:t>Tâches prévues pour la semaine prochaine</w:t>
      </w:r>
    </w:p>
    <w:p w14:paraId="22F9B15E" w14:textId="2A14C148" w:rsidR="0081499F" w:rsidRDefault="0081499F" w:rsidP="0081499F"/>
    <w:p w14:paraId="494BB66C" w14:textId="0554FC22" w:rsidR="00C00D05" w:rsidRDefault="00C00D05" w:rsidP="00C00D05">
      <w:pPr>
        <w:jc w:val="both"/>
      </w:pPr>
      <w:r>
        <w:t xml:space="preserve">Comme précisé </w:t>
      </w:r>
      <w:r w:rsidR="009228F8">
        <w:t>ci</w:t>
      </w:r>
      <w:bookmarkStart w:id="0" w:name="_GoBack"/>
      <w:bookmarkEnd w:id="0"/>
      <w:r w:rsidR="00EA332F">
        <w:t>-dessus</w:t>
      </w:r>
      <w:r>
        <w:t xml:space="preserve">, il nous reste à faire un exécutable </w:t>
      </w:r>
      <w:proofErr w:type="spellStart"/>
      <w:r>
        <w:t>MacOS</w:t>
      </w:r>
      <w:proofErr w:type="spellEnd"/>
      <w:r>
        <w:t xml:space="preserve"> pour avoir totalement fini la partie de programmation et rempli le cahier des charges initial. Il nous reste également à rédiger le rapport de projet et préparer la soutenance finale.</w:t>
      </w:r>
    </w:p>
    <w:p w14:paraId="325C80B5" w14:textId="63DA8018" w:rsidR="00C00D05" w:rsidRDefault="00EA332F" w:rsidP="00C00D05">
      <w:pPr>
        <w:pStyle w:val="Titre1"/>
      </w:pPr>
      <w:r>
        <w:t>Difficultés rencontrées</w:t>
      </w:r>
    </w:p>
    <w:p w14:paraId="507104C4" w14:textId="1AD0AA33" w:rsidR="00EA332F" w:rsidRDefault="00EA332F" w:rsidP="00EA332F"/>
    <w:p w14:paraId="521E1595" w14:textId="6F6FCB27" w:rsidR="00EA332F" w:rsidRDefault="00EA332F" w:rsidP="00EA332F">
      <w:r>
        <w:t>Cette semaine, la création de l’exécutable Windows nous a posé quelques soucis. En effet, les fortes dépendances entre les différentes bibliothèques font en sorte que nous ne pouvons pas inclure n’importe quelles bibliothèques n’importe comment dans le fichier setup.py. Ainsi, nous avons déduit que l’ordre d’inclusion de ces bibliothèques influeraient sur le bon fonctionnement de l’application générée. Après quelques heures à essayer de corriger les erreurs en cascade générées par la création de cet exécutable nous avons finalement réussi à créer l’exécutable Windows.</w:t>
      </w:r>
    </w:p>
    <w:p w14:paraId="41A83D3D" w14:textId="5B2A2E13" w:rsidR="00EA332F" w:rsidRPr="00EA332F" w:rsidRDefault="00EA332F" w:rsidP="00EA332F">
      <w:r>
        <w:t xml:space="preserve">Cependant, le même genre de problèmes se produisent également sous </w:t>
      </w:r>
      <w:proofErr w:type="spellStart"/>
      <w:r>
        <w:t>MacOS</w:t>
      </w:r>
      <w:proofErr w:type="spellEnd"/>
      <w:r>
        <w:t xml:space="preserve"> et c’est le dernier obstacle avant d’avoir complétement fini le projet.</w:t>
      </w:r>
    </w:p>
    <w:p w14:paraId="344F7D60" w14:textId="1E8E0615" w:rsidR="0081499F" w:rsidRDefault="0081499F" w:rsidP="0081499F">
      <w:pPr>
        <w:pStyle w:val="Titre1"/>
      </w:pPr>
      <w:r>
        <w:lastRenderedPageBreak/>
        <w:t>Gant</w:t>
      </w:r>
      <w:r w:rsidR="00BF7D01">
        <w:t>t</w:t>
      </w:r>
    </w:p>
    <w:p w14:paraId="498C1D82" w14:textId="1F54E1D0" w:rsidR="00FF6181" w:rsidRPr="00FF6181" w:rsidRDefault="00FF6181" w:rsidP="00FF6181">
      <w:r>
        <w:rPr>
          <w:noProof/>
          <w:lang w:eastAsia="fr-FR"/>
        </w:rPr>
        <w:drawing>
          <wp:inline distT="0" distB="0" distL="0" distR="0" wp14:anchorId="1667BD62" wp14:editId="25CDEBB1">
            <wp:extent cx="5613400" cy="3206750"/>
            <wp:effectExtent l="0" t="0" r="6350" b="1270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FF6181" w:rsidRPr="00FF6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D6D9F"/>
    <w:multiLevelType w:val="hybridMultilevel"/>
    <w:tmpl w:val="7638C6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11"/>
    <w:rsid w:val="000066B8"/>
    <w:rsid w:val="00066A57"/>
    <w:rsid w:val="000874DE"/>
    <w:rsid w:val="001F1250"/>
    <w:rsid w:val="00226C8F"/>
    <w:rsid w:val="00237661"/>
    <w:rsid w:val="00242DF9"/>
    <w:rsid w:val="00280511"/>
    <w:rsid w:val="002C0D53"/>
    <w:rsid w:val="003054FD"/>
    <w:rsid w:val="003C6BC6"/>
    <w:rsid w:val="004678FE"/>
    <w:rsid w:val="00581C53"/>
    <w:rsid w:val="005B6385"/>
    <w:rsid w:val="0064515D"/>
    <w:rsid w:val="00776906"/>
    <w:rsid w:val="007B33D0"/>
    <w:rsid w:val="0081499F"/>
    <w:rsid w:val="00910A2B"/>
    <w:rsid w:val="009228F8"/>
    <w:rsid w:val="00922A0A"/>
    <w:rsid w:val="00996197"/>
    <w:rsid w:val="009966ED"/>
    <w:rsid w:val="00B94E82"/>
    <w:rsid w:val="00BF7D01"/>
    <w:rsid w:val="00C00D05"/>
    <w:rsid w:val="00CA503F"/>
    <w:rsid w:val="00DC7F9E"/>
    <w:rsid w:val="00EA332F"/>
    <w:rsid w:val="00EB6847"/>
    <w:rsid w:val="00F00D23"/>
    <w:rsid w:val="00FA307D"/>
    <w:rsid w:val="00FD27D5"/>
    <w:rsid w:val="00FF6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F101"/>
  <w15:chartTrackingRefBased/>
  <w15:docId w15:val="{EE8E70F2-DECB-44A6-B7F7-FDE6C8E1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99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B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entrale\Ei2\PGROU\Gantt%20PGRO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Sheet1!$C$4</c:f>
              <c:strCache>
                <c:ptCount val="1"/>
                <c:pt idx="0">
                  <c:v>Début</c:v>
                </c:pt>
              </c:strCache>
            </c:strRef>
          </c:tx>
          <c:spPr>
            <a:noFill/>
            <a:ln>
              <a:noFill/>
            </a:ln>
            <a:effectLst/>
          </c:spPr>
          <c:invertIfNegative val="0"/>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Sheet1!$C$6:$C$21</c:f>
              <c:numCache>
                <c:formatCode>m/d;@</c:formatCode>
                <c:ptCount val="16"/>
                <c:pt idx="0">
                  <c:v>43126</c:v>
                </c:pt>
                <c:pt idx="1">
                  <c:v>43126</c:v>
                </c:pt>
                <c:pt idx="2">
                  <c:v>43133</c:v>
                </c:pt>
                <c:pt idx="3">
                  <c:v>43147</c:v>
                </c:pt>
                <c:pt idx="4">
                  <c:v>43147</c:v>
                </c:pt>
                <c:pt idx="5">
                  <c:v>43154</c:v>
                </c:pt>
                <c:pt idx="6">
                  <c:v>43156</c:v>
                </c:pt>
                <c:pt idx="7">
                  <c:v>43161</c:v>
                </c:pt>
                <c:pt idx="8">
                  <c:v>43168</c:v>
                </c:pt>
                <c:pt idx="9">
                  <c:v>43175</c:v>
                </c:pt>
                <c:pt idx="10">
                  <c:v>43147</c:v>
                </c:pt>
                <c:pt idx="11">
                  <c:v>43147</c:v>
                </c:pt>
                <c:pt idx="12">
                  <c:v>43149</c:v>
                </c:pt>
                <c:pt idx="13">
                  <c:v>43154</c:v>
                </c:pt>
                <c:pt idx="14">
                  <c:v>43168</c:v>
                </c:pt>
                <c:pt idx="15">
                  <c:v>43126</c:v>
                </c:pt>
              </c:numCache>
            </c:numRef>
          </c:val>
          <c:extLst>
            <c:ext xmlns:c16="http://schemas.microsoft.com/office/drawing/2014/chart" uri="{C3380CC4-5D6E-409C-BE32-E72D297353CC}">
              <c16:uniqueId val="{00000000-E083-424F-AF16-212D5E0FFFD1}"/>
            </c:ext>
          </c:extLst>
        </c:ser>
        <c:ser>
          <c:idx val="1"/>
          <c:order val="1"/>
          <c:tx>
            <c:strRef>
              <c:f>Sheet1!$E$4</c:f>
              <c:strCache>
                <c:ptCount val="1"/>
                <c:pt idx="0">
                  <c:v>Durée (jours)</c:v>
                </c:pt>
              </c:strCache>
            </c:strRef>
          </c:tx>
          <c:invertIfNegative val="0"/>
          <c:dPt>
            <c:idx val="0"/>
            <c:invertIfNegative val="0"/>
            <c:bubble3D val="0"/>
            <c:spPr>
              <a:solidFill>
                <a:srgbClr val="008000"/>
              </a:solidFill>
            </c:spPr>
            <c:extLst>
              <c:ext xmlns:c16="http://schemas.microsoft.com/office/drawing/2014/chart" uri="{C3380CC4-5D6E-409C-BE32-E72D297353CC}">
                <c16:uniqueId val="{00000002-E083-424F-AF16-212D5E0FFFD1}"/>
              </c:ext>
            </c:extLst>
          </c:dPt>
          <c:dPt>
            <c:idx val="1"/>
            <c:invertIfNegative val="0"/>
            <c:bubble3D val="0"/>
            <c:spPr>
              <a:solidFill>
                <a:srgbClr val="008000"/>
              </a:solidFill>
            </c:spPr>
            <c:extLst>
              <c:ext xmlns:c16="http://schemas.microsoft.com/office/drawing/2014/chart" uri="{C3380CC4-5D6E-409C-BE32-E72D297353CC}">
                <c16:uniqueId val="{00000004-E083-424F-AF16-212D5E0FFFD1}"/>
              </c:ext>
            </c:extLst>
          </c:dPt>
          <c:dPt>
            <c:idx val="2"/>
            <c:invertIfNegative val="0"/>
            <c:bubble3D val="0"/>
            <c:spPr>
              <a:solidFill>
                <a:srgbClr val="008000"/>
              </a:solidFill>
            </c:spPr>
            <c:extLst>
              <c:ext xmlns:c16="http://schemas.microsoft.com/office/drawing/2014/chart" uri="{C3380CC4-5D6E-409C-BE32-E72D297353CC}">
                <c16:uniqueId val="{00000006-E083-424F-AF16-212D5E0FFFD1}"/>
              </c:ext>
            </c:extLst>
          </c:dPt>
          <c:dPt>
            <c:idx val="3"/>
            <c:invertIfNegative val="0"/>
            <c:bubble3D val="0"/>
            <c:spPr>
              <a:solidFill>
                <a:srgbClr val="0070C0"/>
              </a:solidFill>
            </c:spPr>
            <c:extLst>
              <c:ext xmlns:c16="http://schemas.microsoft.com/office/drawing/2014/chart" uri="{C3380CC4-5D6E-409C-BE32-E72D297353CC}">
                <c16:uniqueId val="{00000008-E083-424F-AF16-212D5E0FFFD1}"/>
              </c:ext>
            </c:extLst>
          </c:dPt>
          <c:dPt>
            <c:idx val="4"/>
            <c:invertIfNegative val="0"/>
            <c:bubble3D val="0"/>
            <c:spPr>
              <a:solidFill>
                <a:srgbClr val="3366FF"/>
              </a:solidFill>
            </c:spPr>
            <c:extLst>
              <c:ext xmlns:c16="http://schemas.microsoft.com/office/drawing/2014/chart" uri="{C3380CC4-5D6E-409C-BE32-E72D297353CC}">
                <c16:uniqueId val="{0000000A-E083-424F-AF16-212D5E0FFFD1}"/>
              </c:ext>
            </c:extLst>
          </c:dPt>
          <c:dPt>
            <c:idx val="5"/>
            <c:invertIfNegative val="0"/>
            <c:bubble3D val="0"/>
            <c:spPr>
              <a:solidFill>
                <a:srgbClr val="3366FF"/>
              </a:solidFill>
            </c:spPr>
            <c:extLst>
              <c:ext xmlns:c16="http://schemas.microsoft.com/office/drawing/2014/chart" uri="{C3380CC4-5D6E-409C-BE32-E72D297353CC}">
                <c16:uniqueId val="{0000000C-E083-424F-AF16-212D5E0FFFD1}"/>
              </c:ext>
            </c:extLst>
          </c:dPt>
          <c:dPt>
            <c:idx val="6"/>
            <c:invertIfNegative val="0"/>
            <c:bubble3D val="0"/>
            <c:spPr>
              <a:solidFill>
                <a:srgbClr val="3366FF"/>
              </a:solidFill>
            </c:spPr>
            <c:extLst>
              <c:ext xmlns:c16="http://schemas.microsoft.com/office/drawing/2014/chart" uri="{C3380CC4-5D6E-409C-BE32-E72D297353CC}">
                <c16:uniqueId val="{0000000E-E083-424F-AF16-212D5E0FFFD1}"/>
              </c:ext>
            </c:extLst>
          </c:dPt>
          <c:dPt>
            <c:idx val="7"/>
            <c:invertIfNegative val="0"/>
            <c:bubble3D val="0"/>
            <c:spPr>
              <a:solidFill>
                <a:srgbClr val="3366FF"/>
              </a:solidFill>
            </c:spPr>
            <c:extLst>
              <c:ext xmlns:c16="http://schemas.microsoft.com/office/drawing/2014/chart" uri="{C3380CC4-5D6E-409C-BE32-E72D297353CC}">
                <c16:uniqueId val="{00000010-E083-424F-AF16-212D5E0FFFD1}"/>
              </c:ext>
            </c:extLst>
          </c:dPt>
          <c:dPt>
            <c:idx val="8"/>
            <c:invertIfNegative val="0"/>
            <c:bubble3D val="0"/>
            <c:spPr>
              <a:solidFill>
                <a:srgbClr val="0070C0"/>
              </a:solidFill>
            </c:spPr>
            <c:extLst>
              <c:ext xmlns:c16="http://schemas.microsoft.com/office/drawing/2014/chart" uri="{C3380CC4-5D6E-409C-BE32-E72D297353CC}">
                <c16:uniqueId val="{00000012-E083-424F-AF16-212D5E0FFFD1}"/>
              </c:ext>
            </c:extLst>
          </c:dPt>
          <c:dPt>
            <c:idx val="9"/>
            <c:invertIfNegative val="0"/>
            <c:bubble3D val="0"/>
            <c:spPr>
              <a:solidFill>
                <a:srgbClr val="0070C0"/>
              </a:solidFill>
            </c:spPr>
            <c:extLst>
              <c:ext xmlns:c16="http://schemas.microsoft.com/office/drawing/2014/chart" uri="{C3380CC4-5D6E-409C-BE32-E72D297353CC}">
                <c16:uniqueId val="{00000014-E083-424F-AF16-212D5E0FFFD1}"/>
              </c:ext>
            </c:extLst>
          </c:dPt>
          <c:dPt>
            <c:idx val="10"/>
            <c:invertIfNegative val="0"/>
            <c:bubble3D val="0"/>
            <c:spPr>
              <a:solidFill>
                <a:srgbClr val="FF0000"/>
              </a:solidFill>
            </c:spPr>
            <c:extLst>
              <c:ext xmlns:c16="http://schemas.microsoft.com/office/drawing/2014/chart" uri="{C3380CC4-5D6E-409C-BE32-E72D297353CC}">
                <c16:uniqueId val="{00000016-E083-424F-AF16-212D5E0FFFD1}"/>
              </c:ext>
            </c:extLst>
          </c:dPt>
          <c:dPt>
            <c:idx val="11"/>
            <c:invertIfNegative val="0"/>
            <c:bubble3D val="0"/>
            <c:spPr>
              <a:solidFill>
                <a:srgbClr val="FF0000"/>
              </a:solidFill>
            </c:spPr>
            <c:extLst>
              <c:ext xmlns:c16="http://schemas.microsoft.com/office/drawing/2014/chart" uri="{C3380CC4-5D6E-409C-BE32-E72D297353CC}">
                <c16:uniqueId val="{00000018-E083-424F-AF16-212D5E0FFFD1}"/>
              </c:ext>
            </c:extLst>
          </c:dPt>
          <c:dPt>
            <c:idx val="12"/>
            <c:invertIfNegative val="0"/>
            <c:bubble3D val="0"/>
            <c:spPr>
              <a:solidFill>
                <a:srgbClr val="FF0000"/>
              </a:solidFill>
            </c:spPr>
            <c:extLst>
              <c:ext xmlns:c16="http://schemas.microsoft.com/office/drawing/2014/chart" uri="{C3380CC4-5D6E-409C-BE32-E72D297353CC}">
                <c16:uniqueId val="{0000001A-E083-424F-AF16-212D5E0FFFD1}"/>
              </c:ext>
            </c:extLst>
          </c:dPt>
          <c:dPt>
            <c:idx val="13"/>
            <c:invertIfNegative val="0"/>
            <c:bubble3D val="0"/>
            <c:spPr>
              <a:solidFill>
                <a:srgbClr val="FF0000"/>
              </a:solidFill>
            </c:spPr>
            <c:extLst>
              <c:ext xmlns:c16="http://schemas.microsoft.com/office/drawing/2014/chart" uri="{C3380CC4-5D6E-409C-BE32-E72D297353CC}">
                <c16:uniqueId val="{0000001C-E083-424F-AF16-212D5E0FFFD1}"/>
              </c:ext>
            </c:extLst>
          </c:dPt>
          <c:dPt>
            <c:idx val="14"/>
            <c:invertIfNegative val="0"/>
            <c:bubble3D val="0"/>
            <c:spPr>
              <a:solidFill>
                <a:srgbClr val="FF0000"/>
              </a:solidFill>
            </c:spPr>
            <c:extLst>
              <c:ext xmlns:c16="http://schemas.microsoft.com/office/drawing/2014/chart" uri="{C3380CC4-5D6E-409C-BE32-E72D297353CC}">
                <c16:uniqueId val="{0000001E-E083-424F-AF16-212D5E0FFFD1}"/>
              </c:ext>
            </c:extLst>
          </c:dPt>
          <c:dPt>
            <c:idx val="15"/>
            <c:invertIfNegative val="0"/>
            <c:bubble3D val="0"/>
            <c:spPr>
              <a:solidFill>
                <a:srgbClr val="660066"/>
              </a:solidFill>
            </c:spPr>
            <c:extLst>
              <c:ext xmlns:c16="http://schemas.microsoft.com/office/drawing/2014/chart" uri="{C3380CC4-5D6E-409C-BE32-E72D297353CC}">
                <c16:uniqueId val="{00000020-E083-424F-AF16-212D5E0FFFD1}"/>
              </c:ext>
            </c:extLst>
          </c:dPt>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Sheet1!$E$6:$E$21</c:f>
              <c:numCache>
                <c:formatCode>General</c:formatCode>
                <c:ptCount val="16"/>
                <c:pt idx="0">
                  <c:v>21</c:v>
                </c:pt>
                <c:pt idx="1">
                  <c:v>7</c:v>
                </c:pt>
                <c:pt idx="2">
                  <c:v>14</c:v>
                </c:pt>
                <c:pt idx="3">
                  <c:v>35</c:v>
                </c:pt>
                <c:pt idx="4">
                  <c:v>7</c:v>
                </c:pt>
                <c:pt idx="5">
                  <c:v>2</c:v>
                </c:pt>
                <c:pt idx="6">
                  <c:v>5</c:v>
                </c:pt>
                <c:pt idx="7">
                  <c:v>7</c:v>
                </c:pt>
                <c:pt idx="8">
                  <c:v>7</c:v>
                </c:pt>
                <c:pt idx="9">
                  <c:v>7</c:v>
                </c:pt>
                <c:pt idx="10">
                  <c:v>35</c:v>
                </c:pt>
                <c:pt idx="11">
                  <c:v>2</c:v>
                </c:pt>
                <c:pt idx="12">
                  <c:v>5</c:v>
                </c:pt>
                <c:pt idx="13">
                  <c:v>14</c:v>
                </c:pt>
                <c:pt idx="14">
                  <c:v>14</c:v>
                </c:pt>
                <c:pt idx="15">
                  <c:v>56</c:v>
                </c:pt>
              </c:numCache>
            </c:numRef>
          </c:val>
          <c:extLst>
            <c:ext xmlns:c16="http://schemas.microsoft.com/office/drawing/2014/chart" uri="{C3380CC4-5D6E-409C-BE32-E72D297353CC}">
              <c16:uniqueId val="{00000021-E083-424F-AF16-212D5E0FFFD1}"/>
            </c:ext>
          </c:extLst>
        </c:ser>
        <c:dLbls>
          <c:showLegendKey val="0"/>
          <c:showVal val="0"/>
          <c:showCatName val="0"/>
          <c:showSerName val="0"/>
          <c:showPercent val="0"/>
          <c:showBubbleSize val="0"/>
        </c:dLbls>
        <c:gapWidth val="100"/>
        <c:overlap val="100"/>
        <c:axId val="78313152"/>
        <c:axId val="78313712"/>
      </c:barChart>
      <c:catAx>
        <c:axId val="78313152"/>
        <c:scaling>
          <c:orientation val="maxMin"/>
        </c:scaling>
        <c:delete val="0"/>
        <c:axPos val="l"/>
        <c:numFmt formatCode="General" sourceLinked="0"/>
        <c:majorTickMark val="out"/>
        <c:minorTickMark val="none"/>
        <c:tickLblPos val="nextTo"/>
        <c:crossAx val="78313712"/>
        <c:crosses val="autoZero"/>
        <c:auto val="1"/>
        <c:lblAlgn val="ctr"/>
        <c:lblOffset val="100"/>
        <c:noMultiLvlLbl val="0"/>
      </c:catAx>
      <c:valAx>
        <c:axId val="78313712"/>
        <c:scaling>
          <c:orientation val="minMax"/>
          <c:max val="43183"/>
          <c:min val="43125"/>
        </c:scaling>
        <c:delete val="0"/>
        <c:axPos val="t"/>
        <c:majorGridlines/>
        <c:numFmt formatCode="m/d;@" sourceLinked="1"/>
        <c:majorTickMark val="out"/>
        <c:minorTickMark val="none"/>
        <c:tickLblPos val="nextTo"/>
        <c:crossAx val="78313152"/>
        <c:crosses val="autoZero"/>
        <c:crossBetween val="between"/>
        <c:majorUnit val="7"/>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300</Words>
  <Characters>1654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Pierre</cp:lastModifiedBy>
  <cp:revision>3</cp:revision>
  <dcterms:created xsi:type="dcterms:W3CDTF">2018-03-23T14:13:00Z</dcterms:created>
  <dcterms:modified xsi:type="dcterms:W3CDTF">2018-03-23T14:23:00Z</dcterms:modified>
</cp:coreProperties>
</file>