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276" w:lineRule="auto"/>
        <w:ind w:left="720" w:right="-3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Integrated framework: a comprehensive approach is introduced for integration of infrastructure investments, stormwater utility fee and the Hydrologic Externality Index.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="276" w:lineRule="auto"/>
        <w:ind w:left="720" w:right="-3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Simulation and evaluation: it allows for the simulation of diverse stormwater fee structures and funding scenarios, enabling the assessment of sustainability and affordability across space and time domains.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276" w:lineRule="auto"/>
        <w:ind w:left="720" w:right="-3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study: the method is demonstrated through a detailed case study in São Leopoldo, Brazil, involving the evaluation of stormwater master plan portfolios, hydrological modeling and performance evaluations of a fee structure under alternative funding scenarios.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472c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472c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472c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00000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2gFx7klzQzk/Yf1pit58hBq2g==">CgMxLjA4AHIhMTN5RXRtUy01dTFMa2xoS3pUMmFuS3B4c3VTVXNPcmx1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