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360" w:before="0" w:line="240" w:lineRule="auto"/>
        <w:ind w:left="0" w:right="0" w:firstLine="0"/>
        <w:jc w:val="righ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b w:val="1"/>
          <w:sz w:val="28"/>
          <w:szCs w:val="28"/>
          <w:rtl w:val="0"/>
        </w:rPr>
        <w:t xml:space="preserve">Igor Povarich</w:t>
      </w:r>
      <w:r w:rsidDel="00000000" w:rsidR="00000000" w:rsidRPr="00000000">
        <w:rPr>
          <w:rtl w:val="0"/>
        </w:rPr>
      </w:r>
    </w:p>
    <w:p w:rsidR="00000000" w:rsidDel="00000000" w:rsidP="00000000" w:rsidRDefault="00000000" w:rsidRPr="00000000" w14:paraId="00000002">
      <w:pPr>
        <w:pStyle w:val="Title"/>
        <w:rPr>
          <w:vertAlign w:val="baseline"/>
        </w:rPr>
      </w:pPr>
      <w:r w:rsidDel="00000000" w:rsidR="00000000" w:rsidRPr="00000000">
        <w:rPr>
          <w:rtl w:val="0"/>
        </w:rPr>
        <w:t xml:space="preserve">Vehicular Ad-Hoc Networks and Their Applications</w:t>
      </w: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2" w:right="0" w:firstLine="0"/>
        <w:jc w:val="left"/>
        <w:rPr>
          <w:rFonts w:ascii="Times New Roman" w:cs="Times New Roman" w:eastAsia="Times New Roman" w:hAnsi="Times New Roman"/>
          <w:b w:val="0"/>
          <w:i w:val="1"/>
          <w:smallCaps w:val="0"/>
          <w:strike w:val="0"/>
          <w:color w:val="000000"/>
          <w:sz w:val="28"/>
          <w:szCs w:val="28"/>
          <w:highlight w:val="yellow"/>
          <w:u w:val="none"/>
          <w:vertAlign w:val="baseline"/>
        </w:rPr>
      </w:pPr>
      <w:r w:rsidDel="00000000" w:rsidR="00000000" w:rsidRPr="00000000">
        <w:rPr>
          <w:i w:val="1"/>
          <w:sz w:val="28"/>
          <w:szCs w:val="28"/>
          <w:rtl w:val="0"/>
        </w:rPr>
        <w:t xml:space="preserve">The following article describes a research survey performed around the field of Vehicular Ad-Hoc Networks (VANET) and their Applications. It also outlines the experiment to be performed in the interest of learning and validation of the 802.11p protocol.</w:t>
      </w:r>
      <w:r w:rsidDel="00000000" w:rsidR="00000000" w:rsidRPr="00000000">
        <w:rPr>
          <w:i w:val="1"/>
          <w:sz w:val="28"/>
          <w:szCs w:val="28"/>
          <w:highlight w:val="yellow"/>
          <w:rtl w:val="0"/>
        </w:rPr>
        <w:t xml:space="preserve"> </w:t>
      </w: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pStyle w:val="Heading1"/>
        <w:numPr>
          <w:ilvl w:val="0"/>
          <w:numId w:val="2"/>
        </w:numPr>
        <w:ind w:left="432" w:hanging="432"/>
        <w:rPr>
          <w:vertAlign w:val="baseline"/>
        </w:rPr>
      </w:pPr>
      <w:r w:rsidDel="00000000" w:rsidR="00000000" w:rsidRPr="00000000">
        <w:rPr>
          <w:b w:val="1"/>
          <w:smallCaps w:val="1"/>
          <w:vertAlign w:val="baseline"/>
          <w:rtl w:val="0"/>
        </w:rPr>
        <w:t xml:space="preserve">Background</w:t>
      </w:r>
      <w:r w:rsidDel="00000000" w:rsidR="00000000" w:rsidRPr="00000000">
        <w:rPr>
          <w:rtl w:val="0"/>
        </w:rPr>
        <w:t xml:space="preserve"> / Literature Review</w:t>
      </w:r>
      <w:r w:rsidDel="00000000" w:rsidR="00000000" w:rsidRPr="00000000">
        <w:rPr>
          <w:rtl w:val="0"/>
        </w:rPr>
      </w:r>
    </w:p>
    <w:p w:rsidR="00000000" w:rsidDel="00000000" w:rsidP="00000000" w:rsidRDefault="00000000" w:rsidRPr="00000000" w14:paraId="00000006">
      <w:pPr>
        <w:widowControl w:val="0"/>
        <w:spacing w:after="120" w:lineRule="auto"/>
        <w:rPr>
          <w:sz w:val="24"/>
          <w:szCs w:val="24"/>
        </w:rPr>
      </w:pPr>
      <w:r w:rsidDel="00000000" w:rsidR="00000000" w:rsidRPr="00000000">
        <w:rPr>
          <w:sz w:val="24"/>
          <w:szCs w:val="24"/>
          <w:rtl w:val="0"/>
        </w:rPr>
        <w:t xml:space="preserve">While commercial vehicles have, in recent years, seen a plethora of new and improved safety features such as anti-lock braking, seat belts, airbags, rear-view cameras, electronic stability control, etc., vehicle accidents have nevertheless continued to rise. [1] Some studies have claimed that up to 60% of accidents on motorways could be avoided if warning messages were provided to the drivers just a few seconds prior to the moment of the crash [2].</w:t>
      </w:r>
    </w:p>
    <w:p w:rsidR="00000000" w:rsidDel="00000000" w:rsidP="00000000" w:rsidRDefault="00000000" w:rsidRPr="00000000" w14:paraId="00000007">
      <w:pPr>
        <w:widowControl w:val="0"/>
        <w:spacing w:after="120" w:lineRule="auto"/>
        <w:rPr>
          <w:sz w:val="24"/>
          <w:szCs w:val="24"/>
        </w:rPr>
      </w:pPr>
      <w:r w:rsidDel="00000000" w:rsidR="00000000" w:rsidRPr="00000000">
        <w:rPr>
          <w:sz w:val="24"/>
          <w:szCs w:val="24"/>
          <w:rtl w:val="0"/>
        </w:rPr>
        <w:t xml:space="preserve">In recent years, much interest has been garnered for implementation of VANETs (Vehicular Ad-Hoc Networks) as a potential solution to increase road safety while also providing opportunities for user applications to increase convenience, and working toward an Intelligent Transport System (ITS). VANETs are a sub-category of MANETs (Mobile Ad-hoc Networks), with some specific types of challenges. </w:t>
      </w:r>
    </w:p>
    <w:p w:rsidR="00000000" w:rsidDel="00000000" w:rsidP="00000000" w:rsidRDefault="00000000" w:rsidRPr="00000000" w14:paraId="00000008">
      <w:pPr>
        <w:widowControl w:val="0"/>
        <w:spacing w:after="120" w:lineRule="auto"/>
        <w:rPr>
          <w:sz w:val="24"/>
          <w:szCs w:val="24"/>
        </w:rPr>
      </w:pPr>
      <w:r w:rsidDel="00000000" w:rsidR="00000000" w:rsidRPr="00000000">
        <w:rPr>
          <w:sz w:val="24"/>
          <w:szCs w:val="24"/>
          <w:rtl w:val="0"/>
        </w:rPr>
        <w:t xml:space="preserve">Research is ongoing in many institutions and companies around the world, but in 1999 the ECC and FCC reserved a five and seven 10MHz band of the 5.9GHz spectrum specifically for emergency V2V (Vehicle to Vehicle) and V2I (Vehicle to Infrastructure) applications in Europe and the US, respectively. Several standards have already been established around this allocation, namely a group of standards called 802.11p (which includes the PHY and MAC layers) and the Wireless Access in Vehicular Environments (WAVE) in order to help facilitate the implementation of ITS. [3] [5]</w:t>
      </w:r>
    </w:p>
    <w:p w:rsidR="00000000" w:rsidDel="00000000" w:rsidP="00000000" w:rsidRDefault="00000000" w:rsidRPr="00000000" w14:paraId="00000009">
      <w:pPr>
        <w:widowControl w:val="0"/>
        <w:spacing w:after="120" w:lineRule="auto"/>
        <w:rPr>
          <w:sz w:val="24"/>
          <w:szCs w:val="24"/>
        </w:rPr>
      </w:pPr>
      <w:r w:rsidDel="00000000" w:rsidR="00000000" w:rsidRPr="00000000">
        <w:rPr>
          <w:sz w:val="24"/>
          <w:szCs w:val="24"/>
          <w:rtl w:val="0"/>
        </w:rPr>
        <w:t xml:space="preserve">The physical layer of 802.11p is very similar to 802.11a (in order to use the same chipsets), using orthogonal frequency division multiplexing (OFDM) with the major difference being a doubling of the physical parameters in the time domain to decrease inter-symbol interference caused by the multipath delay spread and the Doppler spread effects. 802.11p is also considered a hybrid of 802.11a and 802.11e because it uses the extended DCF defined in 802.11e, which adds support for Quality of Service (QoS). [4]</w:t>
      </w:r>
    </w:p>
    <w:p w:rsidR="00000000" w:rsidDel="00000000" w:rsidP="00000000" w:rsidRDefault="00000000" w:rsidRPr="00000000" w14:paraId="0000000A">
      <w:pPr>
        <w:widowControl w:val="0"/>
        <w:spacing w:after="120" w:lineRule="auto"/>
        <w:rPr>
          <w:sz w:val="24"/>
          <w:szCs w:val="24"/>
        </w:rPr>
      </w:pPr>
      <w:r w:rsidDel="00000000" w:rsidR="00000000" w:rsidRPr="00000000">
        <w:rPr>
          <w:sz w:val="24"/>
          <w:szCs w:val="24"/>
          <w:rtl w:val="0"/>
        </w:rPr>
        <w:t xml:space="preserve">Most ongoing research experiments use IEEE 802.11a, b, g, or the previously mentioned new 802.11p standard. Due to the very dynamic nature of VANETs, low latency requirements, and stringent PHY/MAC requirements, this renders many types of traditional networks, such as TCP/IP, MANETs, 3g/4g cellular problematic as solutions, hence the development of this new standard. </w:t>
      </w:r>
    </w:p>
    <w:p w:rsidR="00000000" w:rsidDel="00000000" w:rsidP="00000000" w:rsidRDefault="00000000" w:rsidRPr="00000000" w14:paraId="0000000B">
      <w:pPr>
        <w:widowControl w:val="0"/>
        <w:spacing w:after="120" w:lineRule="auto"/>
        <w:rPr>
          <w:sz w:val="24"/>
          <w:szCs w:val="24"/>
        </w:rPr>
      </w:pPr>
      <w:r w:rsidDel="00000000" w:rsidR="00000000" w:rsidRPr="00000000">
        <w:rPr>
          <w:sz w:val="24"/>
          <w:szCs w:val="24"/>
          <w:rtl w:val="0"/>
        </w:rPr>
        <w:t xml:space="preserve">More modern implementations of VANETs are also evaluating using SDN controllers to help improve connectivity, routing selection, channel selection, and power selection in complex networks. [6]</w:t>
      </w:r>
    </w:p>
    <w:p w:rsidR="00000000" w:rsidDel="00000000" w:rsidP="00000000" w:rsidRDefault="00000000" w:rsidRPr="00000000" w14:paraId="0000000C">
      <w:pPr>
        <w:widowControl w:val="0"/>
        <w:spacing w:after="120" w:lineRule="auto"/>
        <w:rPr>
          <w:sz w:val="24"/>
          <w:szCs w:val="24"/>
        </w:rPr>
      </w:pPr>
      <w:r w:rsidDel="00000000" w:rsidR="00000000" w:rsidRPr="00000000">
        <w:rPr>
          <w:sz w:val="24"/>
          <w:szCs w:val="24"/>
          <w:rtl w:val="0"/>
        </w:rPr>
        <w:t xml:space="preserve">Another major area of development necessary for VANETs to be successfully implemented is around security. [7] [8] The packets that are being broadcast will often contain sensitive information about the vehicle/owner and the low latency and ad-hoc requirements of the topology make it a potentially tempting target for attackers. Another concern is that a malicious agent could, for example, issue a false accident report or traffic jam, potentially causing disruptions or congestion in other parts of the roadway or increasing the risk of fatal accidents.</w:t>
      </w:r>
    </w:p>
    <w:p w:rsidR="00000000" w:rsidDel="00000000" w:rsidP="00000000" w:rsidRDefault="00000000" w:rsidRPr="00000000" w14:paraId="0000000D">
      <w:pPr>
        <w:pStyle w:val="Heading1"/>
        <w:numPr>
          <w:ilvl w:val="0"/>
          <w:numId w:val="2"/>
        </w:numPr>
        <w:ind w:left="432" w:hanging="432"/>
        <w:rPr>
          <w:vertAlign w:val="baseline"/>
        </w:rPr>
      </w:pPr>
      <w:r w:rsidDel="00000000" w:rsidR="00000000" w:rsidRPr="00000000">
        <w:rPr>
          <w:b w:val="1"/>
          <w:smallCaps w:val="1"/>
          <w:vertAlign w:val="baseline"/>
          <w:rtl w:val="0"/>
        </w:rPr>
        <w:t xml:space="preserve">Methodology / Metrics</w:t>
      </w: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z w:val="24"/>
          <w:szCs w:val="24"/>
        </w:rPr>
      </w:pPr>
      <w:r w:rsidDel="00000000" w:rsidR="00000000" w:rsidRPr="00000000">
        <w:rPr>
          <w:sz w:val="24"/>
          <w:szCs w:val="24"/>
          <w:rtl w:val="0"/>
        </w:rPr>
        <w:t xml:space="preserve">For the experimental implementation of this project, an 802.11p transceiver/receiver will be implemented in GNURadio similar to that in [5]. Simulated noise will be varied at several levels as well as the modulation scheme (BPSK,QPSK,QAM-16,and QAM-64). The performance with respect to error rate and throughput. As a performance comparison, several similar networks, such as 802.11a and 802.11e will be implemented in a similar manner. [9]</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z w:val="24"/>
          <w:szCs w:val="24"/>
        </w:rPr>
      </w:pPr>
      <w:r w:rsidDel="00000000" w:rsidR="00000000" w:rsidRPr="00000000">
        <w:rPr>
          <w:sz w:val="24"/>
          <w:szCs w:val="24"/>
          <w:rtl w:val="0"/>
        </w:rPr>
        <w:t xml:space="preserve">As mentioned earlier, another major concern in VANET topologies is around security. Some of the major concerns have been addressed in some of the recent updates to the IEEE 1609.2b standard [10] through the use of administrative tools such as encryption keys and Secure Protocol Data Units (SPDUs). The benefits of these standards and potential gaps will be discussed.</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14">
      <w:pPr>
        <w:pStyle w:val="Heading1"/>
        <w:numPr>
          <w:ilvl w:val="0"/>
          <w:numId w:val="2"/>
        </w:numPr>
        <w:ind w:left="432" w:hanging="432"/>
        <w:rPr>
          <w:vertAlign w:val="baseline"/>
        </w:rPr>
      </w:pPr>
      <w:r w:rsidDel="00000000" w:rsidR="00000000" w:rsidRPr="00000000">
        <w:rPr>
          <w:b w:val="1"/>
          <w:smallCaps w:val="1"/>
          <w:vertAlign w:val="baseline"/>
          <w:rtl w:val="0"/>
        </w:rPr>
        <w:t xml:space="preserve">References</w:t>
      </w: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tl w:val="0"/>
        </w:rPr>
      </w:r>
    </w:p>
    <w:p w:rsidR="00000000" w:rsidDel="00000000" w:rsidP="00000000" w:rsidRDefault="00000000" w:rsidRPr="00000000" w14:paraId="00000016">
      <w:pPr>
        <w:widowControl w:val="0"/>
        <w:numPr>
          <w:ilvl w:val="0"/>
          <w:numId w:val="1"/>
        </w:numPr>
        <w:tabs>
          <w:tab w:val="left" w:pos="270"/>
          <w:tab w:val="right" w:pos="540"/>
        </w:tabs>
        <w:spacing w:line="324.00000000000006" w:lineRule="auto"/>
        <w:ind w:left="630" w:hanging="630"/>
        <w:rPr>
          <w:rFonts w:ascii="Cambria" w:cs="Cambria" w:eastAsia="Cambria" w:hAnsi="Cambria"/>
        </w:rPr>
      </w:pPr>
      <w:r w:rsidDel="00000000" w:rsidR="00000000" w:rsidRPr="00000000">
        <w:rPr>
          <w:rFonts w:ascii="Cambria" w:cs="Cambria" w:eastAsia="Cambria" w:hAnsi="Cambria"/>
          <w:rtl w:val="0"/>
        </w:rPr>
        <w:t xml:space="preserve">Eze, Elias C., Sijing Zhang, and Enjie Liu. “Vehicular Ad Hoc Networks (VANETs): Current State, Challenges, Potentials and Way Forward.” In </w:t>
      </w:r>
      <w:r w:rsidDel="00000000" w:rsidR="00000000" w:rsidRPr="00000000">
        <w:rPr>
          <w:rFonts w:ascii="Cambria" w:cs="Cambria" w:eastAsia="Cambria" w:hAnsi="Cambria"/>
          <w:i w:val="1"/>
          <w:rtl w:val="0"/>
        </w:rPr>
        <w:t xml:space="preserve">2014 20th International Conference on Automation and Computing</w:t>
      </w:r>
      <w:r w:rsidDel="00000000" w:rsidR="00000000" w:rsidRPr="00000000">
        <w:rPr>
          <w:rFonts w:ascii="Cambria" w:cs="Cambria" w:eastAsia="Cambria" w:hAnsi="Cambria"/>
          <w:rtl w:val="0"/>
        </w:rPr>
        <w:t xml:space="preserve">, 176–81. Cranfield, Bedfordshire, United Kingdom: IEEE, 2014.</w:t>
      </w:r>
      <w:hyperlink r:id="rId7">
        <w:r w:rsidDel="00000000" w:rsidR="00000000" w:rsidRPr="00000000">
          <w:rPr>
            <w:rFonts w:ascii="Cambria" w:cs="Cambria" w:eastAsia="Cambria" w:hAnsi="Cambria"/>
            <w:rtl w:val="0"/>
          </w:rPr>
          <w:t xml:space="preserve"> </w:t>
        </w:r>
      </w:hyperlink>
      <w:hyperlink r:id="rId8">
        <w:r w:rsidDel="00000000" w:rsidR="00000000" w:rsidRPr="00000000">
          <w:rPr>
            <w:rFonts w:ascii="Cambria" w:cs="Cambria" w:eastAsia="Cambria" w:hAnsi="Cambria"/>
            <w:color w:val="1155cc"/>
            <w:u w:val="single"/>
            <w:rtl w:val="0"/>
          </w:rPr>
          <w:t xml:space="preserve">https://doi.org/10.1109/IConAC.2014.6935482</w:t>
        </w:r>
      </w:hyperlink>
      <w:r w:rsidDel="00000000" w:rsidR="00000000" w:rsidRPr="00000000">
        <w:rPr>
          <w:rFonts w:ascii="Cambria" w:cs="Cambria" w:eastAsia="Cambria" w:hAnsi="Cambria"/>
          <w:rtl w:val="0"/>
        </w:rPr>
        <w:t xml:space="preserve">.</w:t>
      </w:r>
    </w:p>
    <w:p w:rsidR="00000000" w:rsidDel="00000000" w:rsidP="00000000" w:rsidRDefault="00000000" w:rsidRPr="00000000" w14:paraId="00000017">
      <w:pPr>
        <w:widowControl w:val="0"/>
        <w:numPr>
          <w:ilvl w:val="0"/>
          <w:numId w:val="1"/>
        </w:numPr>
        <w:spacing w:line="324.00000000000006" w:lineRule="auto"/>
        <w:ind w:left="630" w:hanging="630"/>
        <w:rPr>
          <w:rFonts w:ascii="Cambria" w:cs="Cambria" w:eastAsia="Cambria" w:hAnsi="Cambria"/>
        </w:rPr>
      </w:pPr>
      <w:r w:rsidDel="00000000" w:rsidR="00000000" w:rsidRPr="00000000">
        <w:rPr>
          <w:rFonts w:ascii="Cambria" w:cs="Cambria" w:eastAsia="Cambria" w:hAnsi="Cambria"/>
          <w:rtl w:val="0"/>
        </w:rPr>
        <w:t xml:space="preserve">Wang, C. David, and James P. Thompson. Apparatus and method for motion detection and tracking of objects in a region for collision avoidance utilizing a real-time adaptive probabilistic neural network. United States US5613039A, filed January 3, 1994, and issued March 18, 1997.</w:t>
      </w:r>
      <w:hyperlink r:id="rId9">
        <w:r w:rsidDel="00000000" w:rsidR="00000000" w:rsidRPr="00000000">
          <w:rPr>
            <w:rFonts w:ascii="Cambria" w:cs="Cambria" w:eastAsia="Cambria" w:hAnsi="Cambria"/>
            <w:rtl w:val="0"/>
          </w:rPr>
          <w:t xml:space="preserve"> </w:t>
        </w:r>
      </w:hyperlink>
      <w:hyperlink r:id="rId10">
        <w:r w:rsidDel="00000000" w:rsidR="00000000" w:rsidRPr="00000000">
          <w:rPr>
            <w:rFonts w:ascii="Cambria" w:cs="Cambria" w:eastAsia="Cambria" w:hAnsi="Cambria"/>
            <w:color w:val="1155cc"/>
            <w:u w:val="single"/>
            <w:rtl w:val="0"/>
          </w:rPr>
          <w:t xml:space="preserve">https://patents.google.com/patent/US5613039A/en</w:t>
        </w:r>
      </w:hyperlink>
      <w:r w:rsidDel="00000000" w:rsidR="00000000" w:rsidRPr="00000000">
        <w:rPr>
          <w:rFonts w:ascii="Cambria" w:cs="Cambria" w:eastAsia="Cambria" w:hAnsi="Cambria"/>
          <w:rtl w:val="0"/>
        </w:rPr>
        <w:t xml:space="preserve">.</w:t>
      </w:r>
    </w:p>
    <w:p w:rsidR="00000000" w:rsidDel="00000000" w:rsidP="00000000" w:rsidRDefault="00000000" w:rsidRPr="00000000" w14:paraId="00000018">
      <w:pPr>
        <w:widowControl w:val="0"/>
        <w:numPr>
          <w:ilvl w:val="0"/>
          <w:numId w:val="1"/>
        </w:numPr>
        <w:spacing w:line="324.00000000000006" w:lineRule="auto"/>
        <w:ind w:left="630" w:hanging="630"/>
        <w:rPr>
          <w:rFonts w:ascii="Cambria" w:cs="Cambria" w:eastAsia="Cambria" w:hAnsi="Cambria"/>
        </w:rPr>
      </w:pPr>
      <w:r w:rsidDel="00000000" w:rsidR="00000000" w:rsidRPr="00000000">
        <w:rPr>
          <w:rFonts w:ascii="Cambria" w:cs="Cambria" w:eastAsia="Cambria" w:hAnsi="Cambria"/>
          <w:rtl w:val="0"/>
        </w:rPr>
        <w:t xml:space="preserve">“ITS Standards Program | Fact Sheets | ITS Standards Fact Sheets.” Accessed October 5, 2021.</w:t>
      </w:r>
      <w:hyperlink r:id="rId11">
        <w:r w:rsidDel="00000000" w:rsidR="00000000" w:rsidRPr="00000000">
          <w:rPr>
            <w:rFonts w:ascii="Cambria" w:cs="Cambria" w:eastAsia="Cambria" w:hAnsi="Cambria"/>
            <w:rtl w:val="0"/>
          </w:rPr>
          <w:t xml:space="preserve"> </w:t>
        </w:r>
      </w:hyperlink>
      <w:hyperlink r:id="rId12">
        <w:r w:rsidDel="00000000" w:rsidR="00000000" w:rsidRPr="00000000">
          <w:rPr>
            <w:rFonts w:ascii="Cambria" w:cs="Cambria" w:eastAsia="Cambria" w:hAnsi="Cambria"/>
            <w:color w:val="1155cc"/>
            <w:u w:val="single"/>
            <w:rtl w:val="0"/>
          </w:rPr>
          <w:t xml:space="preserve">https://www.standards.its.dot.gov/Factsheets/Factsheet/80</w:t>
        </w:r>
      </w:hyperlink>
      <w:r w:rsidDel="00000000" w:rsidR="00000000" w:rsidRPr="00000000">
        <w:rPr>
          <w:rFonts w:ascii="Cambria" w:cs="Cambria" w:eastAsia="Cambria" w:hAnsi="Cambria"/>
          <w:rtl w:val="0"/>
        </w:rPr>
        <w:t xml:space="preserve">.</w:t>
      </w:r>
    </w:p>
    <w:p w:rsidR="00000000" w:rsidDel="00000000" w:rsidP="00000000" w:rsidRDefault="00000000" w:rsidRPr="00000000" w14:paraId="00000019">
      <w:pPr>
        <w:widowControl w:val="0"/>
        <w:numPr>
          <w:ilvl w:val="0"/>
          <w:numId w:val="1"/>
        </w:numPr>
        <w:spacing w:line="324.00000000000006" w:lineRule="auto"/>
        <w:ind w:left="630" w:hanging="630"/>
        <w:rPr>
          <w:rFonts w:ascii="Cambria" w:cs="Cambria" w:eastAsia="Cambria" w:hAnsi="Cambria"/>
        </w:rPr>
      </w:pPr>
      <w:r w:rsidDel="00000000" w:rsidR="00000000" w:rsidRPr="00000000">
        <w:rPr>
          <w:rFonts w:ascii="Cambria" w:cs="Cambria" w:eastAsia="Cambria" w:hAnsi="Cambria"/>
          <w:rtl w:val="0"/>
        </w:rPr>
        <w:t xml:space="preserve">Toor, Yasser, Paul Muhlethaler, Anis Laouiti, and Arnaud La Fortelle. “Vehicle Ad Hoc Networks: Applications and Related Technical Issues.” </w:t>
      </w:r>
      <w:r w:rsidDel="00000000" w:rsidR="00000000" w:rsidRPr="00000000">
        <w:rPr>
          <w:rFonts w:ascii="Cambria" w:cs="Cambria" w:eastAsia="Cambria" w:hAnsi="Cambria"/>
          <w:i w:val="1"/>
          <w:rtl w:val="0"/>
        </w:rPr>
        <w:t xml:space="preserve">IEEE Communications Surveys &amp; Tutorials</w:t>
      </w:r>
      <w:r w:rsidDel="00000000" w:rsidR="00000000" w:rsidRPr="00000000">
        <w:rPr>
          <w:rFonts w:ascii="Cambria" w:cs="Cambria" w:eastAsia="Cambria" w:hAnsi="Cambria"/>
          <w:rtl w:val="0"/>
        </w:rPr>
        <w:t xml:space="preserve"> 10, no. 3 (2008): 74–88.</w:t>
      </w:r>
      <w:hyperlink r:id="rId13">
        <w:r w:rsidDel="00000000" w:rsidR="00000000" w:rsidRPr="00000000">
          <w:rPr>
            <w:rFonts w:ascii="Cambria" w:cs="Cambria" w:eastAsia="Cambria" w:hAnsi="Cambria"/>
            <w:rtl w:val="0"/>
          </w:rPr>
          <w:t xml:space="preserve"> </w:t>
        </w:r>
      </w:hyperlink>
      <w:hyperlink r:id="rId14">
        <w:r w:rsidDel="00000000" w:rsidR="00000000" w:rsidRPr="00000000">
          <w:rPr>
            <w:rFonts w:ascii="Cambria" w:cs="Cambria" w:eastAsia="Cambria" w:hAnsi="Cambria"/>
            <w:color w:val="1155cc"/>
            <w:u w:val="single"/>
            <w:rtl w:val="0"/>
          </w:rPr>
          <w:t xml:space="preserve">https://doi.org/10.1109/COMST.2008.4625806</w:t>
        </w:r>
      </w:hyperlink>
      <w:r w:rsidDel="00000000" w:rsidR="00000000" w:rsidRPr="00000000">
        <w:rPr>
          <w:rFonts w:ascii="Cambria" w:cs="Cambria" w:eastAsia="Cambria" w:hAnsi="Cambria"/>
          <w:rtl w:val="0"/>
        </w:rPr>
        <w:t xml:space="preserve">.</w:t>
      </w:r>
    </w:p>
    <w:p w:rsidR="00000000" w:rsidDel="00000000" w:rsidP="00000000" w:rsidRDefault="00000000" w:rsidRPr="00000000" w14:paraId="0000001A">
      <w:pPr>
        <w:widowControl w:val="0"/>
        <w:numPr>
          <w:ilvl w:val="0"/>
          <w:numId w:val="1"/>
        </w:numPr>
        <w:spacing w:line="324.00000000000006" w:lineRule="auto"/>
        <w:ind w:left="630" w:hanging="630"/>
        <w:rPr>
          <w:rFonts w:ascii="Cambria" w:cs="Cambria" w:eastAsia="Cambria" w:hAnsi="Cambria"/>
        </w:rPr>
      </w:pPr>
      <w:r w:rsidDel="00000000" w:rsidR="00000000" w:rsidRPr="00000000">
        <w:rPr>
          <w:rFonts w:ascii="Cambria" w:cs="Cambria" w:eastAsia="Cambria" w:hAnsi="Cambria"/>
          <w:rtl w:val="0"/>
        </w:rPr>
        <w:t xml:space="preserve">Bloessl, Bastian, Michele Segata, Christoph Sommer, and Falko Dressler. “Towards an Open Source IEEE 802.11p Stack: A Full SDR-Based Transceiver in GNU Radio.” In </w:t>
      </w:r>
      <w:r w:rsidDel="00000000" w:rsidR="00000000" w:rsidRPr="00000000">
        <w:rPr>
          <w:rFonts w:ascii="Cambria" w:cs="Cambria" w:eastAsia="Cambria" w:hAnsi="Cambria"/>
          <w:i w:val="1"/>
          <w:rtl w:val="0"/>
        </w:rPr>
        <w:t xml:space="preserve">2013 IEEE Vehicular Networking Conference</w:t>
      </w:r>
      <w:r w:rsidDel="00000000" w:rsidR="00000000" w:rsidRPr="00000000">
        <w:rPr>
          <w:rFonts w:ascii="Cambria" w:cs="Cambria" w:eastAsia="Cambria" w:hAnsi="Cambria"/>
          <w:rtl w:val="0"/>
        </w:rPr>
        <w:t xml:space="preserve">, 143–49. Boston, MA, USA: IEEE, 2013.</w:t>
      </w:r>
      <w:hyperlink r:id="rId15">
        <w:r w:rsidDel="00000000" w:rsidR="00000000" w:rsidRPr="00000000">
          <w:rPr>
            <w:rFonts w:ascii="Cambria" w:cs="Cambria" w:eastAsia="Cambria" w:hAnsi="Cambria"/>
            <w:rtl w:val="0"/>
          </w:rPr>
          <w:t xml:space="preserve"> </w:t>
        </w:r>
      </w:hyperlink>
      <w:hyperlink r:id="rId16">
        <w:r w:rsidDel="00000000" w:rsidR="00000000" w:rsidRPr="00000000">
          <w:rPr>
            <w:rFonts w:ascii="Cambria" w:cs="Cambria" w:eastAsia="Cambria" w:hAnsi="Cambria"/>
            <w:color w:val="1155cc"/>
            <w:u w:val="single"/>
            <w:rtl w:val="0"/>
          </w:rPr>
          <w:t xml:space="preserve">https://doi.org/10.1109/VNC.2013.6737601</w:t>
        </w:r>
      </w:hyperlink>
      <w:r w:rsidDel="00000000" w:rsidR="00000000" w:rsidRPr="00000000">
        <w:rPr>
          <w:rFonts w:ascii="Cambria" w:cs="Cambria" w:eastAsia="Cambria" w:hAnsi="Cambria"/>
          <w:rtl w:val="0"/>
        </w:rPr>
        <w:t xml:space="preserve">.</w:t>
      </w:r>
    </w:p>
    <w:p w:rsidR="00000000" w:rsidDel="00000000" w:rsidP="00000000" w:rsidRDefault="00000000" w:rsidRPr="00000000" w14:paraId="0000001B">
      <w:pPr>
        <w:widowControl w:val="0"/>
        <w:numPr>
          <w:ilvl w:val="0"/>
          <w:numId w:val="1"/>
        </w:numPr>
        <w:spacing w:line="324.00000000000006" w:lineRule="auto"/>
        <w:ind w:left="630" w:hanging="630"/>
        <w:rPr>
          <w:rFonts w:ascii="Cambria" w:cs="Cambria" w:eastAsia="Cambria" w:hAnsi="Cambria"/>
        </w:rPr>
      </w:pPr>
      <w:r w:rsidDel="00000000" w:rsidR="00000000" w:rsidRPr="00000000">
        <w:rPr>
          <w:rFonts w:ascii="Cambria" w:cs="Cambria" w:eastAsia="Cambria" w:hAnsi="Cambria"/>
          <w:rtl w:val="0"/>
        </w:rPr>
        <w:t xml:space="preserve">Al-Heety, Othman S., Zahriladha Zakaria, Mahamod Ismail, Mohammed Mudhafar Shakir, Sameer Alani, and Hussein Alsariera. “A Comprehensive Survey: Benefits, Services, Recent Works, Challenges, Security, and Use Cases for SDN-VANET.” </w:t>
      </w:r>
      <w:r w:rsidDel="00000000" w:rsidR="00000000" w:rsidRPr="00000000">
        <w:rPr>
          <w:rFonts w:ascii="Cambria" w:cs="Cambria" w:eastAsia="Cambria" w:hAnsi="Cambria"/>
          <w:i w:val="1"/>
          <w:rtl w:val="0"/>
        </w:rPr>
        <w:t xml:space="preserve">IEEE Access</w:t>
      </w:r>
      <w:r w:rsidDel="00000000" w:rsidR="00000000" w:rsidRPr="00000000">
        <w:rPr>
          <w:rFonts w:ascii="Cambria" w:cs="Cambria" w:eastAsia="Cambria" w:hAnsi="Cambria"/>
          <w:rtl w:val="0"/>
        </w:rPr>
        <w:t xml:space="preserve"> 8 (2020): 91028–47.</w:t>
      </w:r>
      <w:hyperlink r:id="rId17">
        <w:r w:rsidDel="00000000" w:rsidR="00000000" w:rsidRPr="00000000">
          <w:rPr>
            <w:rFonts w:ascii="Cambria" w:cs="Cambria" w:eastAsia="Cambria" w:hAnsi="Cambria"/>
            <w:rtl w:val="0"/>
          </w:rPr>
          <w:t xml:space="preserve"> </w:t>
        </w:r>
      </w:hyperlink>
      <w:hyperlink r:id="rId18">
        <w:r w:rsidDel="00000000" w:rsidR="00000000" w:rsidRPr="00000000">
          <w:rPr>
            <w:rFonts w:ascii="Cambria" w:cs="Cambria" w:eastAsia="Cambria" w:hAnsi="Cambria"/>
            <w:color w:val="1155cc"/>
            <w:u w:val="single"/>
            <w:rtl w:val="0"/>
          </w:rPr>
          <w:t xml:space="preserve">https://doi.org/10.1109/ACCESS.2020.2992580</w:t>
        </w:r>
      </w:hyperlink>
      <w:r w:rsidDel="00000000" w:rsidR="00000000" w:rsidRPr="00000000">
        <w:rPr>
          <w:rFonts w:ascii="Cambria" w:cs="Cambria" w:eastAsia="Cambria" w:hAnsi="Cambria"/>
          <w:rtl w:val="0"/>
        </w:rPr>
        <w:t xml:space="preserve">.</w:t>
      </w:r>
    </w:p>
    <w:p w:rsidR="00000000" w:rsidDel="00000000" w:rsidP="00000000" w:rsidRDefault="00000000" w:rsidRPr="00000000" w14:paraId="0000001C">
      <w:pPr>
        <w:widowControl w:val="0"/>
        <w:numPr>
          <w:ilvl w:val="0"/>
          <w:numId w:val="1"/>
        </w:numPr>
        <w:spacing w:line="324.00000000000006" w:lineRule="auto"/>
        <w:ind w:left="630" w:hanging="630"/>
        <w:rPr>
          <w:rFonts w:ascii="Cambria" w:cs="Cambria" w:eastAsia="Cambria" w:hAnsi="Cambria"/>
        </w:rPr>
      </w:pPr>
      <w:r w:rsidDel="00000000" w:rsidR="00000000" w:rsidRPr="00000000">
        <w:rPr>
          <w:rFonts w:ascii="Cambria" w:cs="Cambria" w:eastAsia="Cambria" w:hAnsi="Cambria"/>
          <w:rtl w:val="0"/>
        </w:rPr>
        <w:t xml:space="preserve">Mishra, Rashmi, Akhilesh Singh, and Rakesh Kumar. “VANET Security: Issues, Challenges and Solutions.” In </w:t>
      </w:r>
      <w:r w:rsidDel="00000000" w:rsidR="00000000" w:rsidRPr="00000000">
        <w:rPr>
          <w:rFonts w:ascii="Cambria" w:cs="Cambria" w:eastAsia="Cambria" w:hAnsi="Cambria"/>
          <w:i w:val="1"/>
          <w:rtl w:val="0"/>
        </w:rPr>
        <w:t xml:space="preserve">2016 International Conference on Electrical, Electronics, and Optimization Techniques (ICEEOT)</w:t>
      </w:r>
      <w:r w:rsidDel="00000000" w:rsidR="00000000" w:rsidRPr="00000000">
        <w:rPr>
          <w:rFonts w:ascii="Cambria" w:cs="Cambria" w:eastAsia="Cambria" w:hAnsi="Cambria"/>
          <w:rtl w:val="0"/>
        </w:rPr>
        <w:t xml:space="preserve">, 1050–55. Chennai, India: IEEE, 2016.</w:t>
      </w:r>
      <w:hyperlink r:id="rId19">
        <w:r w:rsidDel="00000000" w:rsidR="00000000" w:rsidRPr="00000000">
          <w:rPr>
            <w:rFonts w:ascii="Cambria" w:cs="Cambria" w:eastAsia="Cambria" w:hAnsi="Cambria"/>
            <w:rtl w:val="0"/>
          </w:rPr>
          <w:t xml:space="preserve"> </w:t>
        </w:r>
      </w:hyperlink>
      <w:hyperlink r:id="rId20">
        <w:r w:rsidDel="00000000" w:rsidR="00000000" w:rsidRPr="00000000">
          <w:rPr>
            <w:rFonts w:ascii="Cambria" w:cs="Cambria" w:eastAsia="Cambria" w:hAnsi="Cambria"/>
            <w:color w:val="1155cc"/>
            <w:u w:val="single"/>
            <w:rtl w:val="0"/>
          </w:rPr>
          <w:t xml:space="preserve">https://doi.org/10.1109/ICEEOT.2016.7754846</w:t>
        </w:r>
      </w:hyperlink>
      <w:r w:rsidDel="00000000" w:rsidR="00000000" w:rsidRPr="00000000">
        <w:rPr>
          <w:rFonts w:ascii="Cambria" w:cs="Cambria" w:eastAsia="Cambria" w:hAnsi="Cambria"/>
          <w:rtl w:val="0"/>
        </w:rPr>
        <w:t xml:space="preserve">.</w:t>
      </w:r>
    </w:p>
    <w:p w:rsidR="00000000" w:rsidDel="00000000" w:rsidP="00000000" w:rsidRDefault="00000000" w:rsidRPr="00000000" w14:paraId="0000001D">
      <w:pPr>
        <w:widowControl w:val="0"/>
        <w:numPr>
          <w:ilvl w:val="0"/>
          <w:numId w:val="1"/>
        </w:numPr>
        <w:spacing w:line="324.00000000000006" w:lineRule="auto"/>
        <w:ind w:left="630" w:hanging="630"/>
        <w:rPr>
          <w:rFonts w:ascii="Cambria" w:cs="Cambria" w:eastAsia="Cambria" w:hAnsi="Cambria"/>
        </w:rPr>
      </w:pPr>
      <w:r w:rsidDel="00000000" w:rsidR="00000000" w:rsidRPr="00000000">
        <w:rPr>
          <w:rFonts w:ascii="Cambria" w:cs="Cambria" w:eastAsia="Cambria" w:hAnsi="Cambria"/>
          <w:rtl w:val="0"/>
        </w:rPr>
        <w:t xml:space="preserve">Goyal, Amit Kumar, Arun Kumar Tripathi, and Gaurav Agarwal. “Security Attacks, Requirements and Authentication Schemes in VANET.” In </w:t>
      </w:r>
      <w:r w:rsidDel="00000000" w:rsidR="00000000" w:rsidRPr="00000000">
        <w:rPr>
          <w:rFonts w:ascii="Cambria" w:cs="Cambria" w:eastAsia="Cambria" w:hAnsi="Cambria"/>
          <w:i w:val="1"/>
          <w:rtl w:val="0"/>
        </w:rPr>
        <w:t xml:space="preserve">2019 International Conference on Issues and Challenges in Intelligent Computing Techniques (ICICT)</w:t>
      </w:r>
      <w:r w:rsidDel="00000000" w:rsidR="00000000" w:rsidRPr="00000000">
        <w:rPr>
          <w:rFonts w:ascii="Cambria" w:cs="Cambria" w:eastAsia="Cambria" w:hAnsi="Cambria"/>
          <w:rtl w:val="0"/>
        </w:rPr>
        <w:t xml:space="preserve">, 1–5. GHAZIABAD, India: IEEE, 2019.</w:t>
      </w:r>
      <w:hyperlink r:id="rId21">
        <w:r w:rsidDel="00000000" w:rsidR="00000000" w:rsidRPr="00000000">
          <w:rPr>
            <w:rFonts w:ascii="Cambria" w:cs="Cambria" w:eastAsia="Cambria" w:hAnsi="Cambria"/>
            <w:rtl w:val="0"/>
          </w:rPr>
          <w:t xml:space="preserve"> </w:t>
        </w:r>
      </w:hyperlink>
      <w:hyperlink r:id="rId22">
        <w:r w:rsidDel="00000000" w:rsidR="00000000" w:rsidRPr="00000000">
          <w:rPr>
            <w:rFonts w:ascii="Cambria" w:cs="Cambria" w:eastAsia="Cambria" w:hAnsi="Cambria"/>
            <w:color w:val="1155cc"/>
            <w:u w:val="single"/>
            <w:rtl w:val="0"/>
          </w:rPr>
          <w:t xml:space="preserve">https://doi.org/10.1109/ICICT46931.2019.8977656</w:t>
        </w:r>
      </w:hyperlink>
      <w:r w:rsidDel="00000000" w:rsidR="00000000" w:rsidRPr="00000000">
        <w:rPr>
          <w:rFonts w:ascii="Cambria" w:cs="Cambria" w:eastAsia="Cambria" w:hAnsi="Cambria"/>
          <w:rtl w:val="0"/>
        </w:rPr>
        <w:t xml:space="preserve">.</w:t>
      </w:r>
    </w:p>
    <w:p w:rsidR="00000000" w:rsidDel="00000000" w:rsidP="00000000" w:rsidRDefault="00000000" w:rsidRPr="00000000" w14:paraId="0000001E">
      <w:pPr>
        <w:widowControl w:val="0"/>
        <w:numPr>
          <w:ilvl w:val="0"/>
          <w:numId w:val="1"/>
        </w:numPr>
        <w:spacing w:line="324.00000000000006" w:lineRule="auto"/>
        <w:ind w:left="630" w:hanging="630"/>
        <w:rPr>
          <w:rFonts w:ascii="Cambria" w:cs="Cambria" w:eastAsia="Cambria" w:hAnsi="Cambria"/>
        </w:rPr>
      </w:pPr>
      <w:r w:rsidDel="00000000" w:rsidR="00000000" w:rsidRPr="00000000">
        <w:rPr>
          <w:rFonts w:ascii="Cambria" w:cs="Cambria" w:eastAsia="Cambria" w:hAnsi="Cambria"/>
          <w:rtl w:val="0"/>
        </w:rPr>
        <w:t xml:space="preserve">Bloessl, Bastian. </w:t>
      </w:r>
      <w:r w:rsidDel="00000000" w:rsidR="00000000" w:rsidRPr="00000000">
        <w:rPr>
          <w:rFonts w:ascii="Cambria" w:cs="Cambria" w:eastAsia="Cambria" w:hAnsi="Cambria"/>
          <w:i w:val="1"/>
          <w:rtl w:val="0"/>
        </w:rPr>
        <w:t xml:space="preserve">Table of Contents</w:t>
      </w:r>
      <w:r w:rsidDel="00000000" w:rsidR="00000000" w:rsidRPr="00000000">
        <w:rPr>
          <w:rFonts w:ascii="Cambria" w:cs="Cambria" w:eastAsia="Cambria" w:hAnsi="Cambria"/>
          <w:rtl w:val="0"/>
        </w:rPr>
        <w:t xml:space="preserve">. C++, 2021.</w:t>
      </w:r>
      <w:hyperlink r:id="rId23">
        <w:r w:rsidDel="00000000" w:rsidR="00000000" w:rsidRPr="00000000">
          <w:rPr>
            <w:rFonts w:ascii="Cambria" w:cs="Cambria" w:eastAsia="Cambria" w:hAnsi="Cambria"/>
            <w:rtl w:val="0"/>
          </w:rPr>
          <w:t xml:space="preserve"> </w:t>
        </w:r>
      </w:hyperlink>
      <w:hyperlink r:id="rId24">
        <w:r w:rsidDel="00000000" w:rsidR="00000000" w:rsidRPr="00000000">
          <w:rPr>
            <w:rFonts w:ascii="Cambria" w:cs="Cambria" w:eastAsia="Cambria" w:hAnsi="Cambria"/>
            <w:color w:val="1155cc"/>
            <w:u w:val="single"/>
            <w:rtl w:val="0"/>
          </w:rPr>
          <w:t xml:space="preserve">https://github.com/bastibl/gr-ieee802-11</w:t>
        </w:r>
      </w:hyperlink>
      <w:r w:rsidDel="00000000" w:rsidR="00000000" w:rsidRPr="00000000">
        <w:rPr>
          <w:rFonts w:ascii="Cambria" w:cs="Cambria" w:eastAsia="Cambria" w:hAnsi="Cambria"/>
          <w:rtl w:val="0"/>
        </w:rPr>
        <w:t xml:space="preserve">.</w:t>
      </w:r>
    </w:p>
    <w:p w:rsidR="00000000" w:rsidDel="00000000" w:rsidP="00000000" w:rsidRDefault="00000000" w:rsidRPr="00000000" w14:paraId="0000001F">
      <w:pPr>
        <w:widowControl w:val="0"/>
        <w:numPr>
          <w:ilvl w:val="0"/>
          <w:numId w:val="1"/>
        </w:numPr>
        <w:spacing w:line="324.00000000000006" w:lineRule="auto"/>
        <w:ind w:left="630" w:hanging="630"/>
        <w:rPr>
          <w:rFonts w:ascii="Cambria" w:cs="Cambria" w:eastAsia="Cambria" w:hAnsi="Cambria"/>
        </w:rPr>
      </w:pPr>
      <w:r w:rsidDel="00000000" w:rsidR="00000000" w:rsidRPr="00000000">
        <w:rPr>
          <w:rFonts w:ascii="Cambria" w:cs="Cambria" w:eastAsia="Cambria" w:hAnsi="Cambria"/>
          <w:rtl w:val="0"/>
        </w:rPr>
        <w:t xml:space="preserve">“1609.2b-2019 - IEEE Standard for Wireless Access in Vehicular Environments--Security Services for Applications and Management Messages - Amendment 2--PDU Functional Types and Encryption Key Management | IEEE Standard | IEEE Xplore.” Accessed October 5, 2021.</w:t>
      </w:r>
      <w:hyperlink r:id="rId25">
        <w:r w:rsidDel="00000000" w:rsidR="00000000" w:rsidRPr="00000000">
          <w:rPr>
            <w:rFonts w:ascii="Cambria" w:cs="Cambria" w:eastAsia="Cambria" w:hAnsi="Cambria"/>
            <w:rtl w:val="0"/>
          </w:rPr>
          <w:t xml:space="preserve"> </w:t>
        </w:r>
      </w:hyperlink>
      <w:hyperlink r:id="rId26">
        <w:r w:rsidDel="00000000" w:rsidR="00000000" w:rsidRPr="00000000">
          <w:rPr>
            <w:rFonts w:ascii="Cambria" w:cs="Cambria" w:eastAsia="Cambria" w:hAnsi="Cambria"/>
            <w:color w:val="1155cc"/>
            <w:u w:val="single"/>
            <w:rtl w:val="0"/>
          </w:rPr>
          <w:t xml:space="preserve">https://ieeexplore.ieee.org/document/8734860</w:t>
        </w:r>
      </w:hyperlink>
      <w:r w:rsidDel="00000000" w:rsidR="00000000" w:rsidRPr="00000000">
        <w:rPr>
          <w:rFonts w:ascii="Cambria" w:cs="Cambria" w:eastAsia="Cambria" w:hAnsi="Cambria"/>
          <w:rtl w:val="0"/>
        </w:rPr>
        <w:t xml:space="preserve">.</w:t>
      </w:r>
    </w:p>
    <w:p w:rsidR="00000000" w:rsidDel="00000000" w:rsidP="00000000" w:rsidRDefault="00000000" w:rsidRPr="00000000" w14:paraId="00000020">
      <w:pPr>
        <w:widowControl w:val="0"/>
        <w:spacing w:line="324.00000000000006" w:lineRule="auto"/>
        <w:ind w:left="360" w:firstLine="0"/>
        <w:rPr>
          <w:rFonts w:ascii="Cambria" w:cs="Cambria" w:eastAsia="Cambria" w:hAnsi="Cambria"/>
          <w:highlight w:val="yellow"/>
        </w:rPr>
      </w:pPr>
      <w:r w:rsidDel="00000000" w:rsidR="00000000" w:rsidRPr="00000000">
        <w:rPr>
          <w:rFonts w:ascii="Cambria" w:cs="Cambria" w:eastAsia="Cambria" w:hAnsi="Cambria"/>
          <w:highlight w:val="yellow"/>
          <w:rtl w:val="0"/>
        </w:rPr>
        <w:t xml:space="preserve">NEW:</w:t>
      </w:r>
    </w:p>
    <w:p w:rsidR="00000000" w:rsidDel="00000000" w:rsidP="00000000" w:rsidRDefault="00000000" w:rsidRPr="00000000" w14:paraId="00000021">
      <w:pPr>
        <w:widowControl w:val="0"/>
        <w:numPr>
          <w:ilvl w:val="0"/>
          <w:numId w:val="1"/>
        </w:numPr>
        <w:spacing w:line="324.00000000000006" w:lineRule="auto"/>
        <w:ind w:left="630" w:hanging="630"/>
        <w:rPr>
          <w:rFonts w:ascii="Cambria" w:cs="Cambria" w:eastAsia="Cambria" w:hAnsi="Cambria"/>
        </w:rPr>
      </w:pPr>
      <w:r w:rsidDel="00000000" w:rsidR="00000000" w:rsidRPr="00000000">
        <w:rPr>
          <w:rFonts w:ascii="Cambria" w:cs="Cambria" w:eastAsia="Cambria" w:hAnsi="Cambria"/>
          <w:rtl w:val="0"/>
        </w:rPr>
        <w:t xml:space="preserve">A. Bazzi </w:t>
      </w:r>
      <w:r w:rsidDel="00000000" w:rsidR="00000000" w:rsidRPr="00000000">
        <w:rPr>
          <w:rFonts w:ascii="Cambria" w:cs="Cambria" w:eastAsia="Cambria" w:hAnsi="Cambria"/>
          <w:i w:val="1"/>
          <w:rtl w:val="0"/>
        </w:rPr>
        <w:t xml:space="preserve">et al.</w:t>
      </w:r>
      <w:r w:rsidDel="00000000" w:rsidR="00000000" w:rsidRPr="00000000">
        <w:rPr>
          <w:rFonts w:ascii="Cambria" w:cs="Cambria" w:eastAsia="Cambria" w:hAnsi="Cambria"/>
          <w:rtl w:val="0"/>
        </w:rPr>
        <w:t xml:space="preserve">, “Survey and Perspectives of Vehicular Wi-Fi versus Sidelink Cellular-V2X in the 5G Era,” </w:t>
      </w:r>
      <w:r w:rsidDel="00000000" w:rsidR="00000000" w:rsidRPr="00000000">
        <w:rPr>
          <w:rFonts w:ascii="Cambria" w:cs="Cambria" w:eastAsia="Cambria" w:hAnsi="Cambria"/>
          <w:i w:val="1"/>
          <w:rtl w:val="0"/>
        </w:rPr>
        <w:t xml:space="preserve">Future Internet</w:t>
      </w:r>
      <w:r w:rsidDel="00000000" w:rsidR="00000000" w:rsidRPr="00000000">
        <w:rPr>
          <w:rFonts w:ascii="Cambria" w:cs="Cambria" w:eastAsia="Cambria" w:hAnsi="Cambria"/>
          <w:rtl w:val="0"/>
        </w:rPr>
        <w:t xml:space="preserve">, vol. 11, no. 6, p. 122, 2019, doi:</w:t>
      </w:r>
      <w:hyperlink r:id="rId27">
        <w:r w:rsidDel="00000000" w:rsidR="00000000" w:rsidRPr="00000000">
          <w:rPr>
            <w:rFonts w:ascii="Cambria" w:cs="Cambria" w:eastAsia="Cambria" w:hAnsi="Cambria"/>
            <w:rtl w:val="0"/>
          </w:rPr>
          <w:t xml:space="preserve"> </w:t>
        </w:r>
      </w:hyperlink>
      <w:hyperlink r:id="rId28">
        <w:r w:rsidDel="00000000" w:rsidR="00000000" w:rsidRPr="00000000">
          <w:rPr>
            <w:rFonts w:ascii="Cambria" w:cs="Cambria" w:eastAsia="Cambria" w:hAnsi="Cambria"/>
            <w:color w:val="1155cc"/>
            <w:u w:val="single"/>
            <w:rtl w:val="0"/>
          </w:rPr>
          <w:t xml:space="preserve">http://dx.doi.org/10.3390/fi11060122</w:t>
        </w:r>
      </w:hyperlink>
      <w:r w:rsidDel="00000000" w:rsidR="00000000" w:rsidRPr="00000000">
        <w:rPr>
          <w:rFonts w:ascii="Cambria" w:cs="Cambria" w:eastAsia="Cambria" w:hAnsi="Cambria"/>
          <w:rtl w:val="0"/>
        </w:rPr>
        <w:t xml:space="preserve">.</w:t>
      </w:r>
    </w:p>
    <w:p w:rsidR="00000000" w:rsidDel="00000000" w:rsidP="00000000" w:rsidRDefault="00000000" w:rsidRPr="00000000" w14:paraId="00000022">
      <w:pPr>
        <w:widowControl w:val="0"/>
        <w:numPr>
          <w:ilvl w:val="0"/>
          <w:numId w:val="1"/>
        </w:numPr>
        <w:spacing w:line="324.00000000000006" w:lineRule="auto"/>
        <w:ind w:left="630" w:hanging="630"/>
        <w:rPr>
          <w:rFonts w:ascii="Cambria" w:cs="Cambria" w:eastAsia="Cambria" w:hAnsi="Cambria"/>
          <w:u w:val="none"/>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tl w:val="0"/>
        </w:rPr>
      </w:r>
    </w:p>
    <w:sectPr>
      <w:headerReference r:id="rId29" w:type="default"/>
      <w:pgSz w:h="15840" w:w="12240" w:orient="portrait"/>
      <w:pgMar w:bottom="1440" w:top="2523" w:left="1440" w:right="1800" w:header="144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Times New Roman"/>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4">
    <w:pPr>
      <w:keepNext w:val="0"/>
      <w:keepLines w:val="0"/>
      <w:widowControl w:val="0"/>
      <w:pBdr>
        <w:top w:color="000000" w:space="0" w:sz="0" w:val="none"/>
        <w:left w:color="000000" w:space="0" w:sz="0" w:val="none"/>
        <w:bottom w:color="000000" w:space="1" w:sz="4" w:val="single"/>
        <w:right w:color="000000" w:space="0" w:sz="0" w:val="none"/>
        <w:between w:space="0" w:sz="0" w:val="nil"/>
      </w:pBdr>
      <w:shd w:fill="auto" w:val="clear"/>
      <w:tabs>
        <w:tab w:val="center" w:pos="4320"/>
        <w:tab w:val="right" w:pos="8640"/>
      </w:tabs>
      <w:spacing w:after="115"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CpE/EE 5430 REAL TIME SYSTEMS</w:t>
      <w:tab/>
    </w:r>
  </w:p>
  <w:p w:rsidR="00000000" w:rsidDel="00000000" w:rsidP="00000000" w:rsidRDefault="00000000" w:rsidRPr="00000000" w14:paraId="00000025">
    <w:pPr>
      <w:keepNext w:val="0"/>
      <w:keepLines w:val="0"/>
      <w:widowControl w:val="0"/>
      <w:pBdr>
        <w:top w:color="000000" w:space="0" w:sz="0" w:val="none"/>
        <w:left w:color="000000" w:space="0" w:sz="0" w:val="none"/>
        <w:bottom w:color="000000" w:space="1" w:sz="4" w:val="single"/>
        <w:right w:color="000000" w:space="0" w:sz="0" w:val="none"/>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8"/>
        <w:szCs w:val="28"/>
        <w:rtl w:val="0"/>
      </w:rPr>
      <w:t xml:space="preserve">Mid Term Report - Literature Review</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ab/>
      <w:t xml:space="preserve">page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
      <w:lvlJc w:val="left"/>
      <w:pPr>
        <w:ind w:left="360" w:hanging="360"/>
      </w:pPr>
      <w:rPr>
        <w:u w:val="none"/>
      </w:rPr>
    </w:lvl>
    <w:lvl w:ilvl="1">
      <w:start w:val="1"/>
      <w:numFmt w:val="lowerLetter"/>
      <w:lvlText w:val="[%2] "/>
      <w:lvlJc w:val="left"/>
      <w:pPr>
        <w:ind w:left="1440" w:hanging="360"/>
      </w:pPr>
      <w:rPr>
        <w:u w:val="none"/>
      </w:rPr>
    </w:lvl>
    <w:lvl w:ilvl="2">
      <w:start w:val="1"/>
      <w:numFmt w:val="lowerRoman"/>
      <w:lvlText w:val="[%3] "/>
      <w:lvlJc w:val="right"/>
      <w:pPr>
        <w:ind w:left="2160" w:hanging="360"/>
      </w:pPr>
      <w:rPr>
        <w:u w:val="none"/>
      </w:rPr>
    </w:lvl>
    <w:lvl w:ilvl="3">
      <w:start w:val="1"/>
      <w:numFmt w:val="decimal"/>
      <w:lvlText w:val="[%4] "/>
      <w:lvlJc w:val="left"/>
      <w:pPr>
        <w:ind w:left="2880" w:hanging="360"/>
      </w:pPr>
      <w:rPr>
        <w:u w:val="none"/>
      </w:rPr>
    </w:lvl>
    <w:lvl w:ilvl="4">
      <w:start w:val="1"/>
      <w:numFmt w:val="lowerLetter"/>
      <w:lvlText w:val="[%5] "/>
      <w:lvlJc w:val="left"/>
      <w:pPr>
        <w:ind w:left="3600" w:hanging="360"/>
      </w:pPr>
      <w:rPr>
        <w:u w:val="none"/>
      </w:rPr>
    </w:lvl>
    <w:lvl w:ilvl="5">
      <w:start w:val="1"/>
      <w:numFmt w:val="lowerRoman"/>
      <w:lvlText w:val="[%6] "/>
      <w:lvlJc w:val="right"/>
      <w:pPr>
        <w:ind w:left="4320" w:hanging="360"/>
      </w:pPr>
      <w:rPr>
        <w:u w:val="none"/>
      </w:rPr>
    </w:lvl>
    <w:lvl w:ilvl="6">
      <w:start w:val="1"/>
      <w:numFmt w:val="decimal"/>
      <w:lvlText w:val="[%7] "/>
      <w:lvlJc w:val="left"/>
      <w:pPr>
        <w:ind w:left="5040" w:hanging="360"/>
      </w:pPr>
      <w:rPr>
        <w:u w:val="none"/>
      </w:rPr>
    </w:lvl>
    <w:lvl w:ilvl="7">
      <w:start w:val="1"/>
      <w:numFmt w:val="lowerLetter"/>
      <w:lvlText w:val="[%8] "/>
      <w:lvlJc w:val="left"/>
      <w:pPr>
        <w:ind w:left="5760" w:hanging="360"/>
      </w:pPr>
      <w:rPr>
        <w:u w:val="none"/>
      </w:rPr>
    </w:lvl>
    <w:lvl w:ilvl="8">
      <w:start w:val="1"/>
      <w:numFmt w:val="lowerRoman"/>
      <w:lvlText w:val="[%9] "/>
      <w:lvlJc w:val="right"/>
      <w:pPr>
        <w:ind w:left="6480" w:hanging="360"/>
      </w:pPr>
      <w:rPr>
        <w:u w:val="none"/>
      </w:rPr>
    </w:lvl>
  </w:abstractNum>
  <w:abstractNum w:abstractNumId="2">
    <w:lvl w:ilvl="0">
      <w:start w:val="1"/>
      <w:numFmt w:val="decimal"/>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widowControl w:val="0"/>
      <w:pBdr>
        <w:top w:space="0" w:sz="0" w:val="nil"/>
        <w:left w:space="0" w:sz="0" w:val="nil"/>
        <w:bottom w:space="0" w:sz="0" w:val="nil"/>
        <w:right w:space="0" w:sz="0" w:val="nil"/>
        <w:between w:space="0" w:sz="0" w:val="nil"/>
      </w:pBdr>
      <w:shd w:fill="auto" w:val="clear"/>
      <w:spacing w:after="115" w:before="360" w:line="240" w:lineRule="auto"/>
      <w:ind w:left="0" w:right="0" w:firstLine="0"/>
      <w:jc w:val="left"/>
    </w:pPr>
    <w:rPr>
      <w:rFonts w:ascii="Calibri" w:cs="Calibri" w:eastAsia="Calibri" w:hAnsi="Calibri"/>
      <w:b w:val="1"/>
      <w:i w:val="0"/>
      <w:smallCaps w:val="1"/>
      <w:strike w:val="0"/>
      <w:color w:val="000000"/>
      <w:sz w:val="28"/>
      <w:szCs w:val="28"/>
      <w:u w:val="none"/>
      <w:shd w:fill="auto" w:val="clear"/>
      <w:vertAlign w:val="baseline"/>
    </w:rPr>
  </w:style>
  <w:style w:type="paragraph" w:styleId="Heading2">
    <w:name w:val="heading 2"/>
    <w:basedOn w:val="Normal"/>
    <w:next w:val="Normal"/>
    <w:pPr>
      <w:keepNext w:val="1"/>
      <w:keepLines w:val="0"/>
      <w:widowControl w:val="0"/>
      <w:pBdr>
        <w:top w:space="0" w:sz="0" w:val="nil"/>
        <w:left w:space="0" w:sz="0" w:val="nil"/>
        <w:bottom w:space="0" w:sz="0" w:val="nil"/>
        <w:right w:space="0" w:sz="0" w:val="nil"/>
        <w:between w:space="0" w:sz="0" w:val="nil"/>
      </w:pBdr>
      <w:shd w:fill="auto" w:val="clear"/>
      <w:spacing w:after="115" w:before="360" w:line="240" w:lineRule="auto"/>
      <w:ind w:left="576" w:right="0" w:hanging="576"/>
      <w:jc w:val="left"/>
    </w:pPr>
    <w:rPr>
      <w:rFonts w:ascii="Calibri" w:cs="Calibri" w:eastAsia="Calibri" w:hAnsi="Calibri"/>
      <w:b w:val="0"/>
      <w:i w:val="1"/>
      <w:smallCaps w:val="0"/>
      <w:strike w:val="0"/>
      <w:color w:val="000000"/>
      <w:sz w:val="28"/>
      <w:szCs w:val="28"/>
      <w:u w:val="none"/>
      <w:shd w:fill="auto" w:val="clear"/>
      <w:vertAlign w:val="baseline"/>
    </w:rPr>
  </w:style>
  <w:style w:type="paragraph" w:styleId="Heading3">
    <w:name w:val="heading 3"/>
    <w:basedOn w:val="Normal"/>
    <w:next w:val="Normal"/>
    <w:pPr>
      <w:keepNext w:val="1"/>
      <w:keepLines w:val="0"/>
      <w:widowControl w:val="0"/>
      <w:pBdr>
        <w:top w:space="0" w:sz="0" w:val="nil"/>
        <w:left w:space="0" w:sz="0" w:val="nil"/>
        <w:bottom w:space="0" w:sz="0" w:val="nil"/>
        <w:right w:space="0" w:sz="0" w:val="nil"/>
        <w:between w:space="0" w:sz="0" w:val="nil"/>
      </w:pBdr>
      <w:shd w:fill="auto" w:val="clear"/>
      <w:spacing w:after="120" w:before="240" w:line="240" w:lineRule="auto"/>
      <w:ind w:left="720" w:right="0" w:hanging="720"/>
      <w:jc w:val="left"/>
    </w:pPr>
    <w:rPr>
      <w:rFonts w:ascii="Arial" w:cs="Arial" w:eastAsia="Arial" w:hAnsi="Arial"/>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0"/>
      <w:widowControl w:val="0"/>
      <w:pBdr>
        <w:top w:space="0" w:sz="0" w:val="nil"/>
        <w:left w:space="0" w:sz="0" w:val="nil"/>
        <w:bottom w:space="0" w:sz="0" w:val="nil"/>
        <w:right w:space="0" w:sz="0" w:val="nil"/>
        <w:between w:space="0" w:sz="0" w:val="nil"/>
      </w:pBdr>
      <w:shd w:fill="auto" w:val="clear"/>
      <w:spacing w:after="120" w:before="240" w:line="240" w:lineRule="auto"/>
      <w:ind w:left="864" w:right="0" w:hanging="864"/>
      <w:jc w:val="left"/>
    </w:pPr>
    <w:rPr>
      <w:rFonts w:ascii="Arial" w:cs="Arial" w:eastAsia="Arial" w:hAnsi="Arial"/>
      <w:b w:val="1"/>
      <w:i w:val="1"/>
      <w:smallCaps w:val="0"/>
      <w:strike w:val="0"/>
      <w:color w:val="000000"/>
      <w:sz w:val="24"/>
      <w:szCs w:val="24"/>
      <w:u w:val="none"/>
      <w:shd w:fill="auto" w:val="clear"/>
      <w:vertAlign w:val="baseline"/>
    </w:rPr>
  </w:style>
  <w:style w:type="paragraph" w:styleId="Heading5">
    <w:name w:val="heading 5"/>
    <w:basedOn w:val="Normal"/>
    <w:next w:val="Normal"/>
    <w:pPr>
      <w:keepNext w:val="1"/>
      <w:keepLines w:val="0"/>
      <w:widowControl w:val="0"/>
      <w:pBdr>
        <w:top w:space="0" w:sz="0" w:val="nil"/>
        <w:left w:space="0" w:sz="0" w:val="nil"/>
        <w:bottom w:space="0" w:sz="0" w:val="nil"/>
        <w:right w:space="0" w:sz="0" w:val="nil"/>
        <w:between w:space="0" w:sz="0" w:val="nil"/>
      </w:pBdr>
      <w:shd w:fill="auto" w:val="clear"/>
      <w:spacing w:after="120" w:before="240" w:line="240" w:lineRule="auto"/>
      <w:ind w:left="1008" w:right="0" w:hanging="1008"/>
      <w:jc w:val="left"/>
    </w:pPr>
    <w:rPr>
      <w:rFonts w:ascii="Arial" w:cs="Arial" w:eastAsia="Arial" w:hAnsi="Arial"/>
      <w:b w:val="1"/>
      <w:i w:val="0"/>
      <w:smallCaps w:val="0"/>
      <w:strike w:val="0"/>
      <w:color w:val="000000"/>
      <w:sz w:val="24"/>
      <w:szCs w:val="24"/>
      <w:u w:val="none"/>
      <w:shd w:fill="auto" w:val="clear"/>
      <w:vertAlign w:val="baseline"/>
    </w:rPr>
  </w:style>
  <w:style w:type="paragraph" w:styleId="Heading6">
    <w:name w:val="heading 6"/>
    <w:basedOn w:val="Normal"/>
    <w:next w:val="Normal"/>
    <w:pPr>
      <w:keepNext w:val="1"/>
      <w:keepLines w:val="0"/>
      <w:widowControl w:val="0"/>
      <w:pBdr>
        <w:top w:space="0" w:sz="0" w:val="nil"/>
        <w:left w:space="0" w:sz="0" w:val="nil"/>
        <w:bottom w:space="0" w:sz="0" w:val="nil"/>
        <w:right w:space="0" w:sz="0" w:val="nil"/>
        <w:between w:space="0" w:sz="0" w:val="nil"/>
      </w:pBdr>
      <w:shd w:fill="auto" w:val="clear"/>
      <w:spacing w:after="120" w:before="240" w:line="240" w:lineRule="auto"/>
      <w:ind w:left="1152" w:right="0" w:hanging="1152"/>
      <w:jc w:val="left"/>
    </w:pPr>
    <w:rPr>
      <w:rFonts w:ascii="Arial" w:cs="Arial" w:eastAsia="Arial" w:hAnsi="Arial"/>
      <w:b w:val="1"/>
      <w:i w:val="0"/>
      <w:smallCaps w:val="0"/>
      <w:strike w:val="0"/>
      <w:color w:val="000000"/>
      <w:sz w:val="21"/>
      <w:szCs w:val="21"/>
      <w:u w:val="none"/>
      <w:shd w:fill="auto" w:val="clear"/>
      <w:vertAlign w:val="baseline"/>
    </w:rPr>
  </w:style>
  <w:style w:type="paragraph" w:styleId="Title">
    <w:name w:val="Title"/>
    <w:basedOn w:val="Normal"/>
    <w:next w:val="Normal"/>
    <w:pPr>
      <w:keepNext w:val="0"/>
      <w:keepLines w:val="0"/>
      <w:widowControl w:val="0"/>
      <w:pBdr>
        <w:top w:space="0" w:sz="0" w:val="nil"/>
        <w:left w:space="0" w:sz="0" w:val="nil"/>
        <w:bottom w:color="000000" w:space="1" w:sz="4" w:val="single"/>
        <w:right w:space="0" w:sz="0" w:val="nil"/>
        <w:between w:space="0" w:sz="0" w:val="nil"/>
      </w:pBdr>
      <w:shd w:fill="auto" w:val="clear"/>
      <w:spacing w:after="60" w:before="240" w:line="240" w:lineRule="auto"/>
      <w:ind w:left="0" w:right="0" w:firstLine="0"/>
      <w:jc w:val="center"/>
    </w:pPr>
    <w:rPr>
      <w:rFonts w:ascii="Calibri" w:cs="Calibri" w:eastAsia="Calibri" w:hAnsi="Calibri"/>
      <w:b w:val="1"/>
      <w:i w:val="0"/>
      <w:smallCaps w:val="1"/>
      <w:strike w:val="0"/>
      <w:color w:val="008000"/>
      <w:sz w:val="36"/>
      <w:szCs w:val="36"/>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pageBreakBefore w:val="0"/>
      <w:widowControl w:val="0"/>
      <w:pBdr>
        <w:top w:space="0" w:sz="0" w:val="nil"/>
        <w:left w:space="0" w:sz="0" w:val="nil"/>
        <w:bottom w:space="0" w:sz="0" w:val="nil"/>
        <w:right w:space="0" w:sz="0" w:val="nil"/>
        <w:between w:space="0" w:sz="0" w:val="nil"/>
      </w:pBdr>
      <w:shd w:fill="auto" w:val="clear"/>
      <w:spacing w:after="115" w:before="360" w:line="240" w:lineRule="auto"/>
      <w:ind w:left="0" w:right="0" w:firstLine="0"/>
      <w:jc w:val="left"/>
    </w:pPr>
    <w:rPr>
      <w:rFonts w:ascii="Calibri" w:cs="Calibri" w:eastAsia="Calibri" w:hAnsi="Calibri"/>
      <w:b w:val="1"/>
      <w:i w:val="0"/>
      <w:smallCaps w:val="1"/>
      <w:strike w:val="0"/>
      <w:color w:val="000000"/>
      <w:sz w:val="28"/>
      <w:szCs w:val="28"/>
      <w:u w:val="none"/>
      <w:shd w:fill="auto" w:val="clear"/>
      <w:vertAlign w:val="baseline"/>
    </w:rPr>
  </w:style>
  <w:style w:type="paragraph" w:styleId="Heading2">
    <w:name w:val="heading 2"/>
    <w:basedOn w:val="Normal"/>
    <w:next w:val="Normal"/>
    <w:pPr>
      <w:keepNext w:val="1"/>
      <w:keepLines w:val="0"/>
      <w:pageBreakBefore w:val="0"/>
      <w:widowControl w:val="0"/>
      <w:pBdr>
        <w:top w:space="0" w:sz="0" w:val="nil"/>
        <w:left w:space="0" w:sz="0" w:val="nil"/>
        <w:bottom w:space="0" w:sz="0" w:val="nil"/>
        <w:right w:space="0" w:sz="0" w:val="nil"/>
        <w:between w:space="0" w:sz="0" w:val="nil"/>
      </w:pBdr>
      <w:shd w:fill="auto" w:val="clear"/>
      <w:spacing w:after="115" w:before="360" w:line="240" w:lineRule="auto"/>
      <w:ind w:left="576" w:right="0" w:hanging="576"/>
      <w:jc w:val="left"/>
    </w:pPr>
    <w:rPr>
      <w:rFonts w:ascii="Calibri" w:cs="Calibri" w:eastAsia="Calibri" w:hAnsi="Calibri"/>
      <w:b w:val="0"/>
      <w:i w:val="1"/>
      <w:smallCaps w:val="0"/>
      <w:strike w:val="0"/>
      <w:color w:val="000000"/>
      <w:sz w:val="28"/>
      <w:szCs w:val="28"/>
      <w:u w:val="none"/>
      <w:shd w:fill="auto" w:val="clear"/>
      <w:vertAlign w:val="baseline"/>
    </w:rPr>
  </w:style>
  <w:style w:type="paragraph" w:styleId="Heading3">
    <w:name w:val="heading 3"/>
    <w:basedOn w:val="Normal"/>
    <w:next w:val="Normal"/>
    <w:pPr>
      <w:keepNext w:val="1"/>
      <w:keepLines w:val="0"/>
      <w:pageBreakBefore w:val="0"/>
      <w:widowControl w:val="0"/>
      <w:pBdr>
        <w:top w:space="0" w:sz="0" w:val="nil"/>
        <w:left w:space="0" w:sz="0" w:val="nil"/>
        <w:bottom w:space="0" w:sz="0" w:val="nil"/>
        <w:right w:space="0" w:sz="0" w:val="nil"/>
        <w:between w:space="0" w:sz="0" w:val="nil"/>
      </w:pBdr>
      <w:shd w:fill="auto" w:val="clear"/>
      <w:spacing w:after="120" w:before="240" w:line="240" w:lineRule="auto"/>
      <w:ind w:left="720" w:right="0" w:hanging="720"/>
      <w:jc w:val="left"/>
    </w:pPr>
    <w:rPr>
      <w:rFonts w:ascii="Arial" w:cs="Arial" w:eastAsia="Arial" w:hAnsi="Arial"/>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0"/>
      <w:pageBreakBefore w:val="0"/>
      <w:widowControl w:val="0"/>
      <w:pBdr>
        <w:top w:space="0" w:sz="0" w:val="nil"/>
        <w:left w:space="0" w:sz="0" w:val="nil"/>
        <w:bottom w:space="0" w:sz="0" w:val="nil"/>
        <w:right w:space="0" w:sz="0" w:val="nil"/>
        <w:between w:space="0" w:sz="0" w:val="nil"/>
      </w:pBdr>
      <w:shd w:fill="auto" w:val="clear"/>
      <w:spacing w:after="120" w:before="240" w:line="240" w:lineRule="auto"/>
      <w:ind w:left="864" w:right="0" w:hanging="864"/>
      <w:jc w:val="left"/>
    </w:pPr>
    <w:rPr>
      <w:rFonts w:ascii="Arial" w:cs="Arial" w:eastAsia="Arial" w:hAnsi="Arial"/>
      <w:b w:val="1"/>
      <w:i w:val="1"/>
      <w:smallCaps w:val="0"/>
      <w:strike w:val="0"/>
      <w:color w:val="000000"/>
      <w:sz w:val="24"/>
      <w:szCs w:val="24"/>
      <w:u w:val="none"/>
      <w:shd w:fill="auto" w:val="clear"/>
      <w:vertAlign w:val="baseline"/>
    </w:rPr>
  </w:style>
  <w:style w:type="paragraph" w:styleId="Heading5">
    <w:name w:val="heading 5"/>
    <w:basedOn w:val="Normal"/>
    <w:next w:val="Normal"/>
    <w:pPr>
      <w:keepNext w:val="1"/>
      <w:keepLines w:val="0"/>
      <w:pageBreakBefore w:val="0"/>
      <w:widowControl w:val="0"/>
      <w:pBdr>
        <w:top w:space="0" w:sz="0" w:val="nil"/>
        <w:left w:space="0" w:sz="0" w:val="nil"/>
        <w:bottom w:space="0" w:sz="0" w:val="nil"/>
        <w:right w:space="0" w:sz="0" w:val="nil"/>
        <w:between w:space="0" w:sz="0" w:val="nil"/>
      </w:pBdr>
      <w:shd w:fill="auto" w:val="clear"/>
      <w:spacing w:after="120" w:before="240" w:line="240" w:lineRule="auto"/>
      <w:ind w:left="1008" w:right="0" w:hanging="1008"/>
      <w:jc w:val="left"/>
    </w:pPr>
    <w:rPr>
      <w:rFonts w:ascii="Arial" w:cs="Arial" w:eastAsia="Arial" w:hAnsi="Arial"/>
      <w:b w:val="1"/>
      <w:i w:val="0"/>
      <w:smallCaps w:val="0"/>
      <w:strike w:val="0"/>
      <w:color w:val="000000"/>
      <w:sz w:val="24"/>
      <w:szCs w:val="24"/>
      <w:u w:val="none"/>
      <w:shd w:fill="auto" w:val="clear"/>
      <w:vertAlign w:val="baseline"/>
    </w:rPr>
  </w:style>
  <w:style w:type="paragraph" w:styleId="Heading6">
    <w:name w:val="heading 6"/>
    <w:basedOn w:val="Normal"/>
    <w:next w:val="Normal"/>
    <w:pPr>
      <w:keepNext w:val="1"/>
      <w:keepLines w:val="0"/>
      <w:pageBreakBefore w:val="0"/>
      <w:widowControl w:val="0"/>
      <w:pBdr>
        <w:top w:space="0" w:sz="0" w:val="nil"/>
        <w:left w:space="0" w:sz="0" w:val="nil"/>
        <w:bottom w:space="0" w:sz="0" w:val="nil"/>
        <w:right w:space="0" w:sz="0" w:val="nil"/>
        <w:between w:space="0" w:sz="0" w:val="nil"/>
      </w:pBdr>
      <w:shd w:fill="auto" w:val="clear"/>
      <w:spacing w:after="120" w:before="240" w:line="240" w:lineRule="auto"/>
      <w:ind w:left="1152" w:right="0" w:hanging="1152"/>
      <w:jc w:val="left"/>
    </w:pPr>
    <w:rPr>
      <w:rFonts w:ascii="Arial" w:cs="Arial" w:eastAsia="Arial" w:hAnsi="Arial"/>
      <w:b w:val="1"/>
      <w:i w:val="0"/>
      <w:smallCaps w:val="0"/>
      <w:strike w:val="0"/>
      <w:color w:val="000000"/>
      <w:sz w:val="21"/>
      <w:szCs w:val="21"/>
      <w:u w:val="none"/>
      <w:shd w:fill="auto" w:val="clear"/>
      <w:vertAlign w:val="baseline"/>
    </w:rPr>
  </w:style>
  <w:style w:type="paragraph" w:styleId="Title">
    <w:name w:val="Title"/>
    <w:basedOn w:val="Normal"/>
    <w:next w:val="Normal"/>
    <w:pPr>
      <w:keepNext w:val="0"/>
      <w:keepLines w:val="0"/>
      <w:pageBreakBefore w:val="0"/>
      <w:widowControl w:val="0"/>
      <w:pBdr>
        <w:top w:space="0" w:sz="0" w:val="nil"/>
        <w:left w:space="0" w:sz="0" w:val="nil"/>
        <w:bottom w:color="000000" w:space="1" w:sz="4" w:val="single"/>
        <w:right w:space="0" w:sz="0" w:val="nil"/>
        <w:between w:space="0" w:sz="0" w:val="nil"/>
      </w:pBdr>
      <w:shd w:fill="auto" w:val="clear"/>
      <w:spacing w:after="60" w:before="240" w:line="240" w:lineRule="auto"/>
      <w:ind w:left="0" w:right="0" w:firstLine="0"/>
      <w:jc w:val="center"/>
    </w:pPr>
    <w:rPr>
      <w:rFonts w:ascii="Calibri" w:cs="Calibri" w:eastAsia="Calibri" w:hAnsi="Calibri"/>
      <w:b w:val="1"/>
      <w:i w:val="0"/>
      <w:smallCaps w:val="1"/>
      <w:strike w:val="0"/>
      <w:color w:val="008000"/>
      <w:sz w:val="36"/>
      <w:szCs w:val="36"/>
      <w:u w:val="none"/>
      <w:shd w:fill="auto" w:val="clear"/>
      <w:vertAlign w:val="baselin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doi.org/10.1109/ICEEOT.2016.7754846" TargetMode="External"/><Relationship Id="rId22" Type="http://schemas.openxmlformats.org/officeDocument/2006/relationships/hyperlink" Target="https://doi.org/10.1109/ICICT46931.2019.8977656" TargetMode="External"/><Relationship Id="rId21" Type="http://schemas.openxmlformats.org/officeDocument/2006/relationships/hyperlink" Target="https://doi.org/10.1109/ICICT46931.2019.8977656" TargetMode="External"/><Relationship Id="rId24" Type="http://schemas.openxmlformats.org/officeDocument/2006/relationships/hyperlink" Target="https://github.com/bastibl/gr-ieee802-11" TargetMode="External"/><Relationship Id="rId23" Type="http://schemas.openxmlformats.org/officeDocument/2006/relationships/hyperlink" Target="https://github.com/bastibl/gr-ieee802-1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atents.google.com/patent/US5613039A/en" TargetMode="External"/><Relationship Id="rId26" Type="http://schemas.openxmlformats.org/officeDocument/2006/relationships/hyperlink" Target="https://ieeexplore.ieee.org/document/8734860" TargetMode="External"/><Relationship Id="rId25" Type="http://schemas.openxmlformats.org/officeDocument/2006/relationships/hyperlink" Target="https://ieeexplore.ieee.org/document/8734860" TargetMode="External"/><Relationship Id="rId28" Type="http://schemas.openxmlformats.org/officeDocument/2006/relationships/hyperlink" Target="http://dx.doi.org/10.3390/fi11060122" TargetMode="External"/><Relationship Id="rId27" Type="http://schemas.openxmlformats.org/officeDocument/2006/relationships/hyperlink" Target="http://dx.doi.org/10.3390/fi11060122"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eader" Target="header1.xml"/><Relationship Id="rId7" Type="http://schemas.openxmlformats.org/officeDocument/2006/relationships/hyperlink" Target="https://doi.org/10.1109/IConAC.2014.6935482" TargetMode="External"/><Relationship Id="rId8" Type="http://schemas.openxmlformats.org/officeDocument/2006/relationships/hyperlink" Target="https://doi.org/10.1109/IConAC.2014.6935482" TargetMode="External"/><Relationship Id="rId11" Type="http://schemas.openxmlformats.org/officeDocument/2006/relationships/hyperlink" Target="https://www.standards.its.dot.gov/Factsheets/Factsheet/80" TargetMode="External"/><Relationship Id="rId10" Type="http://schemas.openxmlformats.org/officeDocument/2006/relationships/hyperlink" Target="https://patents.google.com/patent/US5613039A/en" TargetMode="External"/><Relationship Id="rId13" Type="http://schemas.openxmlformats.org/officeDocument/2006/relationships/hyperlink" Target="https://doi.org/10.1109/COMST.2008.4625806" TargetMode="External"/><Relationship Id="rId12" Type="http://schemas.openxmlformats.org/officeDocument/2006/relationships/hyperlink" Target="https://www.standards.its.dot.gov/Factsheets/Factsheet/80" TargetMode="External"/><Relationship Id="rId15" Type="http://schemas.openxmlformats.org/officeDocument/2006/relationships/hyperlink" Target="https://doi.org/10.1109/VNC.2013.6737601" TargetMode="External"/><Relationship Id="rId14" Type="http://schemas.openxmlformats.org/officeDocument/2006/relationships/hyperlink" Target="https://doi.org/10.1109/COMST.2008.4625806" TargetMode="External"/><Relationship Id="rId17" Type="http://schemas.openxmlformats.org/officeDocument/2006/relationships/hyperlink" Target="https://doi.org/10.1109/ACCESS.2020.2992580" TargetMode="External"/><Relationship Id="rId16" Type="http://schemas.openxmlformats.org/officeDocument/2006/relationships/hyperlink" Target="https://doi.org/10.1109/VNC.2013.6737601" TargetMode="External"/><Relationship Id="rId19" Type="http://schemas.openxmlformats.org/officeDocument/2006/relationships/hyperlink" Target="https://doi.org/10.1109/ICEEOT.2016.7754846" TargetMode="External"/><Relationship Id="rId18" Type="http://schemas.openxmlformats.org/officeDocument/2006/relationships/hyperlink" Target="https://doi.org/10.1109/ACCESS.2020.299258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abXSc254PQwJRdS8d61UOzxqfVA==">AMUW2mXBQvGiI0U4RqV0RJyBSyQMgjJklS5Zyn2iyHVrXS/gZ5r1tdosAPzOaEwADc7+UAknr0ISoQcc78hk7C20tOSD+q3pelDZiWGbOm/ohDzSSyecLg0=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