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correcoes (2026-09-24), update 3 (2026-09-25), update 4 (2026-09-25).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36 · ✏️ 20 · ⬜ 58 · 🚧 9 · 16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w:t>
            </w:r>
          </w:p>
        </w:tc>
        <w:tc>
          <w:tcPr>
            <w:tcW w:type="dxa" w:w="1440"/>
          </w:tcPr>
          <w:p>
            <w:r/>
            <w:r>
              <w:rPr>
                <w:sz w:val="16"/>
              </w:rPr>
              <w:t>Resumo</w:t>
            </w:r>
          </w:p>
        </w:tc>
        <w:tc>
          <w:tcPr>
            <w:tcW w:type="dxa" w:w="1440"/>
          </w:tcPr>
          <w:p>
            <w:r/>
            <w:r>
              <w:rPr>
                <w:sz w:val="16"/>
              </w:rPr>
              <w:t>Resumo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Principais achados — Prioridade</w:t>
            </w:r>
          </w:p>
        </w:tc>
        <w:tc>
          <w:tcPr>
            <w:tcW w:type="dxa" w:w="1440"/>
          </w:tcPr>
          <w:p>
            <w:r/>
            <w:r>
              <w:rPr>
                <w:sz w:val="16"/>
              </w:rPr>
              <w:t>Principais achados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a gravidez</w:t>
            </w:r>
          </w:p>
        </w:tc>
        <w:tc>
          <w:tcPr>
            <w:tcW w:type="dxa" w:w="1440"/>
          </w:tcPr>
          <w:p>
            <w:r/>
            <w:r>
              <w:rPr>
                <w:sz w:val="16"/>
              </w:rPr>
              <w:t>Obitos gravidez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Óbitos maternos durante o puerpério</w:t>
            </w:r>
          </w:p>
        </w:tc>
        <w:tc>
          <w:tcPr>
            <w:tcW w:type="dxa" w:w="1440"/>
          </w:tcPr>
          <w:p>
            <w:r/>
            <w:r>
              <w:rPr>
                <w:sz w:val="16"/>
              </w:rPr>
              <w:t>Obitos puerperio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atualizado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infantil bairro 2025</w:t>
            </w:r>
          </w:p>
        </w:tc>
        <w:tc>
          <w:tcPr>
            <w:tcW w:type="dxa" w:w="1440"/>
          </w:tcPr>
          <w:p>
            <w:r/>
            <w:r>
              <w:rPr>
                <w:sz w:val="16"/>
              </w:rPr>
              <w:t>✏️ atualizado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atualizado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atualizado</w:t>
            </w:r>
          </w:p>
        </w:tc>
        <w:tc>
          <w:tcPr>
            <w:tcW w:type="dxa" w:w="1440"/>
          </w:tcPr>
          <w:p>
            <w:r/>
            <w:r>
              <w:rPr>
                <w:sz w:val="16"/>
              </w:rPr>
              <w:t>update 4 (2026-09-25)</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os 4 gráficos (`obitos_causas_evitaveis_raca_ano`, `…_sem_nao_informado_ano`, `percentual_mortalidade_causas_evitaveis_raca_ano`, `…_sem_nao_informado_ano`) e a tabela `mortalidade_causas_evitaveis_raca_municipio_ano.csv` foram removidos do relatório em 2026-09-25 (specs/2026-09-25_relatorio_latex, D6): as chamadas que os geravam estão comentadas em analise.py, então os arquivos no disco são antigos. Ver também a nota de analise.py: o cruzamento por raça/cor desse arquivo não é filtrado só para causas evitáveis</w:t>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Prioridade (sem secundário)</w:t>
            </w:r>
          </w:p>
        </w:tc>
        <w:tc>
          <w:tcPr>
            <w:tcW w:type="dxa" w:w="1440"/>
          </w:tcPr>
          <w:p>
            <w:r/>
            <w:r>
              <w:rPr>
                <w:sz w:val="16"/>
              </w:rPr>
              <w:t>Síntese do eixo — Prioridade</w:t>
            </w:r>
          </w:p>
        </w:tc>
        <w:tc>
          <w:tcPr>
            <w:tcW w:type="dxa" w:w="1440"/>
          </w:tcPr>
          <w:p>
            <w:r/>
            <w:r>
              <w:rPr>
                <w:sz w:val="16"/>
              </w:rPr>
              <w:t>Síntese do eixo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Principais achados — Inclusão</w:t>
            </w:r>
          </w:p>
        </w:tc>
        <w:tc>
          <w:tcPr>
            <w:tcW w:type="dxa" w:w="1440"/>
          </w:tcPr>
          <w:p>
            <w:r/>
            <w:r>
              <w:rPr>
                <w:sz w:val="16"/>
              </w:rPr>
              <w:t>Principais achados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Crianças até 6 anos, por sexo</w:t>
            </w:r>
          </w:p>
        </w:tc>
        <w:tc>
          <w:tcPr>
            <w:tcW w:type="dxa" w:w="1440"/>
          </w:tcPr>
          <w:p>
            <w:r/>
            <w:r>
              <w:rPr>
                <w:sz w:val="16"/>
              </w:rPr>
              <w:t>Censo sidra populacao 0 6 sexo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por raça/cor</w:t>
            </w:r>
          </w:p>
        </w:tc>
        <w:tc>
          <w:tcPr>
            <w:tcW w:type="dxa" w:w="1440"/>
          </w:tcPr>
          <w:p>
            <w:r/>
            <w:r>
              <w:rPr>
                <w:sz w:val="16"/>
              </w:rPr>
              <w:t>Censo sidra populacao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raça/cor</w:t>
            </w:r>
          </w:p>
        </w:tc>
        <w:tc>
          <w:tcPr>
            <w:tcW w:type="dxa" w:w="1440"/>
          </w:tcPr>
          <w:p>
            <w:r/>
            <w:r>
              <w:rPr>
                <w:sz w:val="16"/>
              </w:rPr>
              <w:t>Sidra taxa frequencia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sexo</w:t>
            </w:r>
          </w:p>
        </w:tc>
        <w:tc>
          <w:tcPr>
            <w:tcW w:type="dxa" w:w="1440"/>
          </w:tcPr>
          <w:p>
            <w:r/>
            <w:r>
              <w:rPr>
                <w:sz w:val="16"/>
              </w:rPr>
              <w:t>Sidra taxa frequencia 0 6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Síntese do eixo — Inclusão</w:t>
            </w:r>
          </w:p>
        </w:tc>
        <w:tc>
          <w:tcPr>
            <w:tcW w:type="dxa" w:w="1440"/>
          </w:tcPr>
          <w:p>
            <w:r/>
            <w:r>
              <w:rPr>
                <w:sz w:val="16"/>
              </w:rPr>
              <w:t>Síntese do eixo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Principais achados — Família e Cuidados</w:t>
            </w:r>
          </w:p>
        </w:tc>
        <w:tc>
          <w:tcPr>
            <w:tcW w:type="dxa" w:w="1440"/>
          </w:tcPr>
          <w:p>
            <w:r/>
            <w:r>
              <w:rPr>
                <w:sz w:val="16"/>
              </w:rPr>
              <w:t>Principais achados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Cadunico criancas por idade</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0 a 4 bairro 2026</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(número)</w:t>
            </w:r>
          </w:p>
        </w:tc>
        <w:tc>
          <w:tcPr>
            <w:tcW w:type="dxa" w:w="1440"/>
          </w:tcPr>
          <w:p>
            <w:r/>
            <w:r>
              <w:rPr>
                <w:sz w:val="16"/>
              </w:rPr>
              <w:t>Cadunico familias por idade</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familias por faixa renda</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frequência escolar da população até 6 anos</w:t>
            </w:r>
          </w:p>
        </w:tc>
        <w:tc>
          <w:tcPr>
            <w:tcW w:type="dxa" w:w="1440"/>
          </w:tcPr>
          <w:p>
            <w:r/>
            <w:r>
              <w:rPr>
                <w:sz w:val="16"/>
              </w:rPr>
              <w:t>Pnad frequencia escolar por idade</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Crianças até 6 anos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Síntese do eixo — Família e Cuidados</w:t>
            </w:r>
          </w:p>
        </w:tc>
        <w:tc>
          <w:tcPr>
            <w:tcW w:type="dxa" w:w="1440"/>
          </w:tcPr>
          <w:p>
            <w:r/>
            <w:r>
              <w:rPr>
                <w:sz w:val="16"/>
              </w:rPr>
              <w:t>Síntese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Principais achados — Proteção</w:t>
            </w:r>
          </w:p>
        </w:tc>
        <w:tc>
          <w:tcPr>
            <w:tcW w:type="dxa" w:w="1440"/>
          </w:tcPr>
          <w:p>
            <w:r/>
            <w:r>
              <w:rPr>
                <w:sz w:val="16"/>
              </w:rPr>
              <w:t>Principais achados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familiar (0 a 5 anos)</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Proteção</w:t>
            </w:r>
          </w:p>
        </w:tc>
        <w:tc>
          <w:tcPr>
            <w:tcW w:type="dxa" w:w="1440"/>
          </w:tcPr>
          <w:p>
            <w:r/>
            <w:r>
              <w:rPr>
                <w:sz w:val="16"/>
              </w:rPr>
              <w:t>Síntese do eixo — Proteção</w:t>
            </w:r>
          </w:p>
        </w:tc>
        <w:tc>
          <w:tcPr>
            <w:tcW w:type="dxa" w:w="1440"/>
          </w:tcPr>
          <w:p>
            <w:r/>
            <w:r>
              <w:rPr>
                <w:sz w:val="16"/>
              </w:rPr>
              <w:t>Síntese do eixo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Principais achados — Alimentação</w:t>
            </w:r>
          </w:p>
        </w:tc>
        <w:tc>
          <w:tcPr>
            <w:tcW w:type="dxa" w:w="1440"/>
          </w:tcPr>
          <w:p>
            <w:r/>
            <w:r>
              <w:rPr>
                <w:sz w:val="16"/>
              </w:rPr>
              <w:t>Principais achados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Alimentação</w:t>
            </w:r>
          </w:p>
        </w:tc>
        <w:tc>
          <w:tcPr>
            <w:tcW w:type="dxa" w:w="1440"/>
          </w:tcPr>
          <w:p>
            <w:r/>
            <w:r>
              <w:rPr>
                <w:sz w:val="16"/>
              </w:rPr>
              <w:t>Síntese do eixo — Alimentação</w:t>
            </w:r>
          </w:p>
        </w:tc>
        <w:tc>
          <w:tcPr>
            <w:tcW w:type="dxa" w:w="1440"/>
          </w:tcPr>
          <w:p>
            <w:r/>
            <w:r>
              <w:rPr>
                <w:sz w:val="16"/>
              </w:rPr>
              <w:t>Síntese do eixo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Principais achados — Moradia</w:t>
            </w:r>
          </w:p>
        </w:tc>
        <w:tc>
          <w:tcPr>
            <w:tcW w:type="dxa" w:w="1440"/>
          </w:tcPr>
          <w:p>
            <w:r/>
            <w:r>
              <w:rPr>
                <w:sz w:val="16"/>
              </w:rPr>
              <w:t>Principais achados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r>
        <w:tc>
          <w:tcPr>
            <w:tcW w:type="dxa" w:w="1440"/>
          </w:tcPr>
          <w:p>
            <w:r/>
            <w:r>
              <w:rPr>
                <w:sz w:val="16"/>
              </w:rPr>
              <w:t>🏠 Moradia</w:t>
            </w:r>
          </w:p>
        </w:tc>
        <w:tc>
          <w:tcPr>
            <w:tcW w:type="dxa" w:w="1440"/>
          </w:tcPr>
          <w:p>
            <w:r/>
            <w:r>
              <w:rPr>
                <w:sz w:val="16"/>
              </w:rPr>
              <w:t>Síntese do eixo — Moradia</w:t>
            </w:r>
          </w:p>
        </w:tc>
        <w:tc>
          <w:tcPr>
            <w:tcW w:type="dxa" w:w="1440"/>
          </w:tcPr>
          <w:p>
            <w:r/>
            <w:r>
              <w:rPr>
                <w:sz w:val="16"/>
              </w:rPr>
              <w:t>Síntese do eixo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w:t>
            </w:r>
          </w:p>
        </w:tc>
        <w:tc>
          <w:tcPr>
            <w:tcW w:type="dxa" w:w="1440"/>
          </w:tcPr>
          <w:p>
            <w:r/>
            <w:r>
              <w:rPr>
                <w:sz w:val="16"/>
              </w:rPr>
              <w:t>Considerações finais</w:t>
            </w:r>
          </w:p>
        </w:tc>
        <w:tc>
          <w:tcPr>
            <w:tcW w:type="dxa" w:w="1440"/>
          </w:tcPr>
          <w:p>
            <w:r/>
            <w:r>
              <w:rPr>
                <w:sz w:val="16"/>
              </w:rPr>
              <w:t>Considerações finais</w:t>
            </w:r>
          </w:p>
        </w:tc>
        <w:tc>
          <w:tcPr>
            <w:tcW w:type="dxa" w:w="1440"/>
          </w:tcPr>
          <w:p>
            <w:r/>
            <w:r>
              <w:rPr>
                <w:sz w:val="16"/>
              </w:rPr>
              <w:t>✏️ atualizado</w:t>
            </w:r>
          </w:p>
        </w:tc>
        <w:tc>
          <w:tcPr>
            <w:tcW w:type="dxa" w:w="1440"/>
          </w:tcPr>
          <w:p>
            <w:r/>
            <w:r>
              <w:rPr>
                <w:sz w:val="16"/>
              </w:rPr>
              <w:t>—</w:t>
            </w:r>
          </w:p>
        </w:tc>
        <w:tc>
          <w:tcPr>
            <w:tcW w:type="dxa" w:w="1440"/>
          </w:tcPr>
          <w:p>
            <w:r/>
            <w:r>
              <w:rPr>
                <w:sz w:val="16"/>
              </w:rPr>
              <w:t>F; r; a; s; e;  ; '; o;  ; p; o; d; e; r;  ; p; ú; b; l; i; c; o;  ; d; e; v; e;  ; a; t; u; a; r;  ; d; e;  ; f; o; r; m; a;  ; i; s; o; l; a; d; a;  ; e;  ; i; n; t; e; g; r; a; r; .; .; .; ';  ; —;  ; p; r; o; v; a; v; e; l; m; e; n; t; e;  ; f; a; l; t; a;  ; u; m;  ; '; n; ã; o; ';  ; (; n; ã; o;  ; d; e; v; e;  ; a; t; u; a; r;  ; d; e;  ; f; o; r; m; a;  ; i; s; o; l; a; d; a; ); .;  ; N; ã; o;  ; c; o; r; r; i; g; i; d; o; :;  ; d; e; c; i; s; ã; o;  ; d; a;  ; e; q; u; i; p; e; .;  ; V; e; i; o;  ; c; o; l; a; d; o;  ; d; e; p; o; i; s;  ; d; o;  ; t; e; x; t; o;  ; d; e;  ; o; b; e; s; i; d; a; d; e;  ; S; I; S; V; A; N;  ; n; o;  ; u; p; d; a; t; e;  ; 4;  ; (; t; í; t; u; l; o;  ; '; C; o; n; c; l; u; s; ã; o; '; ); .</w:t>
            </w:r>
          </w:p>
        </w:tc>
      </w:tr>
    </w:tbl>
    <w:p>
      <w:r>
        <w:rPr>
          <w:b w:val="0"/>
          <w:i w:val="0"/>
        </w:rPr>
      </w:r>
    </w:p>
    <w:p>
      <w:pPr>
        <w:pStyle w:val="Heading1"/>
      </w:pPr>
      <w:r>
        <w:t>Introdução  ✏️</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Resumo  ⬜</w:t>
      </w:r>
    </w:p>
    <w:p>
      <w:bookmarkStart w:id="2" w:name="resumo"/>
      <w:r>
        <w:t>Nec scelerisque pretium eveniet nisi cubilia facere nisi vitae venenatis debitis modi est officia nemo egestas fugit mollit aspernatur occaecat qui illo veritatis dapibus aliqua dignissim pede dictum autem porttitor dolore consequuntur rhoncus est donec architecto consequatur officiis lorem diam cras fringilla enim debitis pede sed vitae integer explicabo quaerat fringilla fames lorem beatae reprehenderit aliquet netus esse at quia senectus augue eget magni vestibulum ut primis pellentesque nec quis consectetur commodo eget quibusdam vel eiusmod in repellat vestibulum dignissim dolor ipsum mauris adipisci mollis justo consequat beatae irure turpis cillum eu aperiam culpa aliquid inventore justo autem cras curabitur sit sequi condimentum dolor venenatis laboriosam delectus nisi omnis quam tellus debitis fermentum modi ipsum fugit quis nullam aliquid fames esse rerum eget qui velit fringilla modi doloribus sed illo dolore do enim molestie dolores elementum quae cubilia mollis elementum eget orci in potenti pellentesque proin ut consequat sapien eget ac accusantium pellentesque exercitation vitae sed rhoncus curabitur eum rhoncus sequi proident aliquam ea hendrerit mollit nonummy aliquip rerum eu corporis quis ipsum porttitor habitant non ullamcorper sunt voluptas arcu magnam excepteur massa modi ac sapien voluptas metus vel metus hic morbi duis aliquet nec nesciunt curae odit massa nulla illo massa dicta ullamco deserunt turpis consectetuer nec quia dolores nisi ab magna eos lacus error velit vivamus lorem ante feugiat ante sed incidunt temporibus porta mollis itaque turpis culpa praesent dapibus ipsum hendrerit tempor cillum ab ut ex eius natus eleifend mollit est sequi est nec sed delectus semper.</w:t>
      </w:r>
      <w:bookmarkEnd w:id="2"/>
    </w:p>
    <w:p>
      <w:pPr>
        <w:pStyle w:val="Heading1"/>
      </w:pPr>
      <w:r>
        <w:t>🎯 Prioridade (sem secundário)</w:t>
      </w:r>
    </w:p>
    <w:p>
      <w:pPr>
        <w:pStyle w:val="Heading2"/>
      </w:pPr>
      <w:r>
        <w:t>Principais achados — Prioridade  ⬜</w:t>
      </w:r>
    </w:p>
    <w:p>
      <w:r>
        <w:rPr>
          <w:i/>
        </w:rPr>
        <w:t>Uma frase por linha (Shift+Enter entre as frases).</w:t>
      </w:r>
    </w:p>
    <w:p>
      <w:bookmarkStart w:id="3" w:name="achados_prioridade"/>
      <w:r>
        <w:t>Praesent turpis earum imperdiet reiciendis turpis nihil pretium porttitor ante suscipit nec.</w:t>
        <w:br/>
        <w:t>Unde sapiente sequi vulputate cillum do nibh unde ullamcorper ad praesent etiam.</w:t>
        <w:br/>
        <w:t>Velit sed elit corporis dui senectus senectus semper felis tristique ex inventore.</w:t>
        <w:br/>
        <w:t>Doloremque adipisci voluptatem minim arcu molestie dolor proin sed repudiandae elementum autem.</w:t>
        <w:br/>
        <w:t>Lacus duis tempora incidunt nonummy at quibusdam ab ullam nostrud in porttitor.</w:t>
      </w:r>
      <w:bookmarkEnd w:id="3"/>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962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9629"/>
                    </a:xfrm>
                    <a:prstGeom prst="rect"/>
                  </pic:spPr>
                </pic:pic>
              </a:graphicData>
            </a:graphic>
          </wp:inline>
        </w:drawing>
      </w:r>
    </w:p>
    <w:p>
      <w:bookmarkStart w:id="4"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4"/>
    </w:p>
    <w:p>
      <w:pPr>
        <w:pStyle w:val="Heading3"/>
      </w:pPr>
      <w:r>
        <w:t>Mapa censo 0 4 absoluto  ✅</w:t>
      </w:r>
    </w:p>
    <w:p>
      <w:r>
        <w:drawing>
          <wp:inline xmlns:a="http://schemas.openxmlformats.org/drawingml/2006/main" xmlns:pic="http://schemas.openxmlformats.org/drawingml/2006/picture">
            <wp:extent cx="5029200" cy="3439973"/>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39973"/>
                    </a:xfrm>
                    <a:prstGeom prst="rect"/>
                  </pic:spPr>
                </pic:pic>
              </a:graphicData>
            </a:graphic>
          </wp:inline>
        </w:drawing>
      </w:r>
    </w:p>
    <w:p>
      <w:bookmarkStart w:id="5"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5"/>
    </w:p>
    <w:p>
      <w:r>
        <w:rPr>
          <w:i/>
        </w:rPr>
        <w:t>Tabela de apoio: `censo_0_a_4_anos_por_ano.csv`, `censo_por_bairro.csv`</w:t>
      </w:r>
    </w:p>
    <w:p>
      <w:pPr>
        <w:pStyle w:val="Heading2"/>
      </w:pPr>
      <w:r>
        <w:t>Crianças até 4 anos (percentual)  ✏️</w:t>
      </w:r>
    </w:p>
    <w:p>
      <w:pPr>
        <w:pStyle w:val="Heading3"/>
      </w:pPr>
      <w:r>
        <w:t>Censo 0 a 4 serie percentual ano  ✏️</w:t>
      </w:r>
    </w:p>
    <w:p>
      <w:r>
        <w:drawing>
          <wp:inline xmlns:a="http://schemas.openxmlformats.org/drawingml/2006/main" xmlns:pic="http://schemas.openxmlformats.org/drawingml/2006/picture">
            <wp:extent cx="5029200" cy="252465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24658"/>
                    </a:xfrm>
                    <a:prstGeom prst="rect"/>
                  </pic:spPr>
                </pic:pic>
              </a:graphicData>
            </a:graphic>
          </wp:inline>
        </w:drawing>
      </w:r>
    </w:p>
    <w:p>
      <w:bookmarkStart w:id="6" w:name="censo_0_a_4_serie_percentual_ano"/>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6"/>
    </w:p>
    <w:p>
      <w:pPr>
        <w:pStyle w:val="Heading3"/>
      </w:pPr>
      <w:r>
        <w:t>Mapa censo 0 4 percentual  ✏️</w:t>
      </w:r>
    </w:p>
    <w:p>
      <w:r>
        <w:drawing>
          <wp:inline xmlns:a="http://schemas.openxmlformats.org/drawingml/2006/main" xmlns:pic="http://schemas.openxmlformats.org/drawingml/2006/picture">
            <wp:extent cx="5029200" cy="3439973"/>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39973"/>
                    </a:xfrm>
                    <a:prstGeom prst="rect"/>
                  </pic:spPr>
                </pic:pic>
              </a:graphicData>
            </a:graphic>
          </wp:inline>
        </w:drawing>
      </w:r>
    </w:p>
    <w:p>
      <w:bookmarkStart w:id="7" w:name="mapa_censo_0_4_percentual"/>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7"/>
    </w:p>
    <w:p>
      <w:r>
        <w:rPr>
          <w:i/>
        </w:rPr>
        <w:t>Tabela de apoio: `censo_0_a_4_anos_por_ano.csv`</w:t>
      </w:r>
    </w:p>
    <w:p>
      <w:pPr>
        <w:pStyle w:val="Heading2"/>
      </w:pPr>
      <w:r>
        <w:t>Crianças até 6 anos (número)  ⬜</w:t>
      </w:r>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8"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 veniam eget quam quasi nunc laboriosam ipsum feugiat imperdiet eum pariatur dolor porttitor quis praesent deserunt dui laudantium nibh voluptatibus doloremque turpis.</w:t>
      </w:r>
      <w:bookmarkEnd w:id="8"/>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9"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 eos elementum curabitur netus facilisi possimus fringilla vulputate in.</w:t>
      </w:r>
      <w:bookmarkEnd w:id="9"/>
    </w:p>
    <w:p>
      <w:r>
        <w:rPr>
          <w:i/>
        </w:rPr>
        <w:t>Tabela de apoio: `populacao_ripsa_0_a_6_por_ano.csv`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10" w:name="nascidos_vivos_por_ano"/>
      <w:r>
        <w:t>A partir do gráfico de nascidos vivos é possível observar que há uma tendência de queda no número de nascidos vivos na cidade do Rio de Janeiro, com alguns períodos de recuperação. Entre os anos de 2020 e 2021, após um período com uma persistente queda acentuada, a série atinge um patamar muito baixo,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10"/>
    </w:p>
    <w:p>
      <w:pPr>
        <w:pStyle w:val="Heading3"/>
      </w:pPr>
      <w:r>
        <w:t>Mapa nascidos vivos bairro 2025  ✏️</w:t>
      </w:r>
    </w:p>
    <w:p>
      <w:r>
        <w:drawing>
          <wp:inline xmlns:a="http://schemas.openxmlformats.org/drawingml/2006/main" xmlns:pic="http://schemas.openxmlformats.org/drawingml/2006/picture">
            <wp:extent cx="5029200" cy="3439973"/>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39973"/>
                    </a:xfrm>
                    <a:prstGeom prst="rect"/>
                  </pic:spPr>
                </pic:pic>
              </a:graphicData>
            </a:graphic>
          </wp:inline>
        </w:drawing>
      </w:r>
    </w:p>
    <w:p>
      <w:bookmarkStart w:id="11"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1"/>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39973"/>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39973"/>
                    </a:xfrm>
                    <a:prstGeom prst="rect"/>
                  </pic:spPr>
                </pic:pic>
              </a:graphicData>
            </a:graphic>
          </wp:inline>
        </w:drawing>
      </w:r>
    </w:p>
    <w:p>
      <w:bookmarkStart w:id="12"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2"/>
    </w:p>
    <w:p>
      <w:r>
        <w:rPr>
          <w:i/>
        </w:rPr>
        <w:t>Tabela de apoio: `tabela_mapa_nascidos_vivos_2025.csv`</w:t>
      </w:r>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19629"/>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19629"/>
                    </a:xfrm>
                    <a:prstGeom prst="rect"/>
                  </pic:spPr>
                </pic:pic>
              </a:graphicData>
            </a:graphic>
          </wp:inline>
        </w:drawing>
      </w:r>
    </w:p>
    <w:p>
      <w:bookmarkStart w:id="13"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3"/>
    </w:p>
    <w:p>
      <w:pPr>
        <w:pStyle w:val="Heading3"/>
      </w:pPr>
      <w:r>
        <w:t>Mapa taxa mortalidade precoce bairro 2025  ✅</w:t>
      </w:r>
    </w:p>
    <w:p>
      <w:r>
        <w:drawing>
          <wp:inline xmlns:a="http://schemas.openxmlformats.org/drawingml/2006/main" xmlns:pic="http://schemas.openxmlformats.org/drawingml/2006/picture">
            <wp:extent cx="5029200" cy="3439973"/>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4"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4"/>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1962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2519629"/>
                    </a:xfrm>
                    <a:prstGeom prst="rect"/>
                  </pic:spPr>
                </pic:pic>
              </a:graphicData>
            </a:graphic>
          </wp:inline>
        </w:drawing>
      </w:r>
    </w:p>
    <w:p>
      <w:bookmarkStart w:id="15"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5"/>
    </w:p>
    <w:p>
      <w:pPr>
        <w:pStyle w:val="Heading3"/>
      </w:pPr>
      <w:r>
        <w:t>Mapa taxa obitos tardios bairro 2025  ✅</w:t>
      </w:r>
    </w:p>
    <w:p>
      <w:r>
        <w:drawing>
          <wp:inline xmlns:a="http://schemas.openxmlformats.org/drawingml/2006/main" xmlns:pic="http://schemas.openxmlformats.org/drawingml/2006/picture">
            <wp:extent cx="5029200" cy="3439973"/>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39973"/>
                    </a:xfrm>
                    <a:prstGeom prst="rect"/>
                  </pic:spPr>
                </pic:pic>
              </a:graphicData>
            </a:graphic>
          </wp:inline>
        </w:drawing>
      </w:r>
    </w:p>
    <w:p>
      <w:bookmarkStart w:id="16"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6"/>
    </w:p>
    <w:p>
      <w:r>
        <w:rPr>
          <w:i/>
        </w:rPr>
        <w:t>Tabela de apoio: `mortalidade_neonatal_tardia_por_ano.csv`, `mortalidade_neonatal_tardia_bairro_ano.csv`, `tabela_mapa_obitos_neonatal_tardia_2025.csv`</w:t>
      </w:r>
    </w:p>
    <w:p>
      <w:pPr>
        <w:pStyle w:val="Heading2"/>
      </w:pPr>
      <w:r>
        <w:t>Óbitos maternos durante a gravidez  ✅</w:t>
      </w:r>
    </w:p>
    <w:p>
      <w:pPr>
        <w:pStyle w:val="Heading3"/>
      </w:pPr>
      <w:r>
        <w:t>Obitos gravidez por ano  ✅</w:t>
      </w:r>
    </w:p>
    <w:p>
      <w:r>
        <w:drawing>
          <wp:inline xmlns:a="http://schemas.openxmlformats.org/drawingml/2006/main" xmlns:pic="http://schemas.openxmlformats.org/drawingml/2006/picture">
            <wp:extent cx="5029200" cy="2524658"/>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24658"/>
                    </a:xfrm>
                    <a:prstGeom prst="rect"/>
                  </pic:spPr>
                </pic:pic>
              </a:graphicData>
            </a:graphic>
          </wp:inline>
        </w:drawing>
      </w:r>
    </w:p>
    <w:p>
      <w:bookmarkStart w:id="17"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17"/>
    </w:p>
    <w:p>
      <w:r>
        <w:rPr>
          <w:i/>
        </w:rPr>
        <w:t>Tabela de apoio: `obitos_gravidez_por_ano.csv`, `obitos_gravidez_bairro_ano.csv`, `tabela_mapa_obitos_gravidez_2025.csv`</w:t>
      </w:r>
    </w:p>
    <w:p>
      <w:pPr>
        <w:pStyle w:val="Heading2"/>
      </w:pPr>
      <w:r>
        <w:t>Óbitos maternos durante o puerpério  ✅</w:t>
      </w:r>
    </w:p>
    <w:p>
      <w:pPr>
        <w:pStyle w:val="Heading3"/>
      </w:pPr>
      <w:r>
        <w:t>Obitos puerperio por ano  ✅</w:t>
      </w:r>
    </w:p>
    <w:p>
      <w:r>
        <w:drawing>
          <wp:inline xmlns:a="http://schemas.openxmlformats.org/drawingml/2006/main" xmlns:pic="http://schemas.openxmlformats.org/drawingml/2006/picture">
            <wp:extent cx="5029200" cy="2524658"/>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2524658"/>
                    </a:xfrm>
                    <a:prstGeom prst="rect"/>
                  </pic:spPr>
                </pic:pic>
              </a:graphicData>
            </a:graphic>
          </wp:inline>
        </w:drawing>
      </w:r>
    </w:p>
    <w:p>
      <w:bookmarkStart w:id="18"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18"/>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9629"/>
                    </a:xfrm>
                    <a:prstGeom prst="rect"/>
                  </pic:spPr>
                </pic:pic>
              </a:graphicData>
            </a:graphic>
          </wp:inline>
        </w:drawing>
      </w:r>
    </w:p>
    <w:p>
      <w:bookmarkStart w:id="19" w:name="obitos_raca_ano"/>
      <w:r>
        <w:t>A série permite observar mudanças distintas na trajetória dos óbitos segundo raça/cor. Entre 2006 e 2025, os registros para crianças brancas passaram de 468 para 272, enquanto entre crianças pardas passaram de 373 para 396, após oscilações e valores superiores a 500 em alguns anos. Entre crianças pretas, os registros passaram de 89 para 57. A categoria “não informada” também apresentou redução, de 167 para 47, o que altera sua participação na série ao longo do período. Essas diferenças podem ser analisadas em conjunto com os nascidos vivos por raça/cor, disponíveis a partir de 2011, para distinguir composição dos nascimentos e ocorrência dos óbitos.</w:t>
      </w:r>
      <w:bookmarkEnd w:id="19"/>
    </w:p>
    <w:p>
      <w:pPr>
        <w:pStyle w:val="Heading3"/>
      </w:pPr>
      <w:r>
        <w:t>Percentual mortalidade raca ano  ✅</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2519629"/>
                    </a:xfrm>
                    <a:prstGeom prst="rect"/>
                  </pic:spPr>
                </pic:pic>
              </a:graphicData>
            </a:graphic>
          </wp:inline>
        </w:drawing>
      </w:r>
    </w:p>
    <w:p>
      <w:bookmarkStart w:id="20" w:name="percentual_mortalidade_raca_ano"/>
      <w:r>
        <w:t>A relação entre óbitos e nascidos vivos evidencia diferenças na mortalidade infantil que não aparecem apenas na contagem absoluta. Entre 2011 e 2025, as taxas de crianças brancas e pardas permaneceram próximas, variando de 17,6 a 11,3 e de 19,8 a 14,3 óbitos por mil nascidos vivos, respectivamente. Para crianças pretas, a taxa variou entre 5,0 e 14,3 por mil, enquanto a categoria amarela e indígena, agrupada por ter poucos registros, apresenta oscilações maiores associadas ao pequeno número de casos. A categoria “não informada” também apresenta forte variação, relacionada à quantidade de nascidos classificados nessa categoria. Essas características devem ser consideradas em comparações entre os grupos e na análise da série histórica.</w:t>
      </w:r>
      <w:bookmarkEnd w:id="20"/>
    </w:p>
    <w:p>
      <w:pPr>
        <w:pStyle w:val="Heading3"/>
      </w:pPr>
      <w:r>
        <w:t>Mapa taxa obitos raca total bairro 2025  ✏️</w:t>
      </w:r>
    </w:p>
    <w:p>
      <w:r>
        <w:drawing>
          <wp:inline xmlns:a="http://schemas.openxmlformats.org/drawingml/2006/main" xmlns:pic="http://schemas.openxmlformats.org/drawingml/2006/picture">
            <wp:extent cx="5029200" cy="3439973"/>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439973"/>
                    </a:xfrm>
                    <a:prstGeom prst="rect"/>
                  </pic:spPr>
                </pic:pic>
              </a:graphicData>
            </a:graphic>
          </wp:inline>
        </w:drawing>
      </w:r>
    </w:p>
    <w:p>
      <w:bookmarkStart w:id="21" w:name="mapa_taxa_obitos_raca_total_bairro_2025"/>
      <w:r>
        <w:t>A taxa de mortalidade infantil permite comparar os bairros considerando a relação entre os óbitos e os nascidos vivos de cada território. Em 2025, Cidade Nova e Gericinó apresentaram a maior taxa registrada, de 71,4 óbitos por mil nascidos vivos, mas com números diferentes de óbitos e nascidos vivos: 3 óbitos entre 42 nascidos vivos em Cidade Nova e 1 entre 14 em Gericinó. Cidade Universitária apresentou 58,8 por mil, com 1 óbito entre 17 nascidos vivos. A comparação entre taxa, número de óbitos e nascidos vivos permite qualificar a leitura das diferenças territoriais e serve de base para relacionar o indicador a outros recortes da mortalidade infantil.</w:t>
      </w:r>
      <w:bookmarkEnd w:id="21"/>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519629"/>
                    </a:xfrm>
                    <a:prstGeom prst="rect"/>
                  </pic:spPr>
                </pic:pic>
              </a:graphicData>
            </a:graphic>
          </wp:inline>
        </w:drawing>
      </w:r>
    </w:p>
    <w:p>
      <w:bookmarkStart w:id="22" w:name="obitos_evitaveis_total_cap_ano"/>
      <w:r>
        <w:t>A série permite acompanhar a evolução dos óbitos de menores de 5 anos nas diferentes Áreas Programáticas de Saúde (CAP) e comparar como esses registros variam entre os territórios ao longo do tempo. No conjunto das CAPs, os óbitos passaram de 1.311 em 2006 para 856 em 2025, com redução ao longo da série, embora tenha ocorrido aumento entre 2024 e 2025, de 819 para 856 registros. A distribuição territorial também apresenta diferenças importantes em 2025, com 150 óbitos na CAP 4.0 e 131 na CAP 3.3. Esses dados podem ser relacionados à composição das causas e ao percentual de óbitos evitáveis em cada CAP.</w:t>
      </w:r>
      <w:bookmarkEnd w:id="22"/>
    </w:p>
    <w:p>
      <w:pPr>
        <w:pStyle w:val="Heading3"/>
      </w:pPr>
      <w:r>
        <w:t>Obitos evitaveis cap menores 1 ano ano  ✅</w:t>
      </w:r>
    </w:p>
    <w:p>
      <w:r>
        <w:drawing>
          <wp:inline xmlns:a="http://schemas.openxmlformats.org/drawingml/2006/main" xmlns:pic="http://schemas.openxmlformats.org/drawingml/2006/picture">
            <wp:extent cx="5029200" cy="2519629"/>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19629"/>
                    </a:xfrm>
                    <a:prstGeom prst="rect"/>
                  </pic:spPr>
                </pic:pic>
              </a:graphicData>
            </a:graphic>
          </wp:inline>
        </w:drawing>
      </w:r>
    </w:p>
    <w:p>
      <w:bookmarkStart w:id="23" w:name="obitos_evitaveis_cap_menores_1_ano_ano"/>
      <w:r>
        <w:t>A série permite acompanhar a variação dos óbitos classificados como causas evitáveis entre as CAPs ao longo do período. No conjunto das CAPs, os registros passaram de 755 em 2006 para 491 em 2025, embora com oscilações ao longo da série. Em 2025, a CAP 4.0 apresentou 89 óbitos, a CAP 3.3 registrou 84 e a CAP 5.2, 67. A distribuição entre as CAPs pode ser relacionada ao percentual de óbitos evitáveis e às demais categorias de causas presentes na base, permitindo analisar como a quantidade de óbitos e sua composição variam entre os territórios.</w:t>
      </w:r>
      <w:bookmarkEnd w:id="23"/>
    </w:p>
    <w:p>
      <w:pPr>
        <w:pStyle w:val="Heading3"/>
      </w:pPr>
      <w:r>
        <w:t>Obitos evitaveis cap 1 a 4 anos ano  ✅</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519629"/>
                    </a:xfrm>
                    <a:prstGeom prst="rect"/>
                  </pic:spPr>
                </pic:pic>
              </a:graphicData>
            </a:graphic>
          </wp:inline>
        </w:drawing>
      </w:r>
    </w:p>
    <w:p>
      <w:bookmarkStart w:id="24" w:name="obitos_evitaveis_cap_1_a_4_anos_ano"/>
      <w:r>
        <w:t>A série apresenta a variação dos óbitos classificados como causas evitáveis entre as CAPs para crianças de 1 a 4 anos. As contagens são reduzidas em comparação com a faixa de menores de 1 ano e apresentam oscilações entre os anos e territórios. Em 2025, os registros variaram entre as CAPs, sem que pequenas diferenças anuais devam ser interpretadas isoladamente. A série pode ser utilizada para acompanhar a ocorrência do evento ao longo do tempo e relacioná-la à distribuição das demais causas de óbito nessa faixa etária, mantendo a ressalva de que o pequeno número de registros limita comparações mais detalhadas entre CAPs.</w:t>
      </w:r>
      <w:bookmarkEnd w:id="24"/>
    </w:p>
    <w:p>
      <w:pPr>
        <w:pStyle w:val="Heading3"/>
      </w:pPr>
      <w:r>
        <w:t>Obitos evitaveis cap menores 5 anos ano  ✅</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5" w:name="obitos_evitaveis_cap_menores_5_anos_ano"/>
      <w:r>
        <w:t>A série permite acompanhar a ocorrência de óbitos por causas evitáveis na primeira infância e observar como esse conjunto se distribui entre as CAPs ao longo do período. Como a faixa de menores de 5 anos reúne os óbitos de menores de 1 ano e de 1 a 4 anos, o indicador oferece uma visão agregada da ocorrência de causas evitáveis nessa etapa da vida. A comparação entre as CAPs pode ser complementada pela análise separada das duas faixas etárias, permitindo verificar em que grupo etário se concentram as diferenças observadas e relacioná-las à composição das demais causas de óbito.</w:t>
      </w:r>
      <w:bookmarkEnd w:id="25"/>
    </w:p>
    <w:p>
      <w:pPr>
        <w:pStyle w:val="Heading3"/>
      </w:pPr>
      <w:r>
        <w:t>Percentual evitaveis cap menores 1 ano ano  ✅</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6" w:name="percentual_evitaveis_cap_menores_0686f13b"/>
      <w:r>
        <w:t>O percentual permite analisar a participação das causas evitáveis no conjunto dos óbitos de menores de 1 ano em cada CAP, complementando a leitura feita a partir dos números absolutos. Ao longo da série, os valores oscilam entre as CAPs e entre os anos, mostrando que a composição dos óbitos varia mesmo quando a quantidade absoluta de registros apresenta comportamento semelhante. A comparação desse indicador com o número total de óbitos permite distinguir mudanças na quantidade de ocorrências de mudanças na participação das causas evitáveis. O indicador também pode ser relacionado às demais categorias de causas presentes na base para aprofundar a análise territorial.</w:t>
      </w:r>
      <w:bookmarkEnd w:id="26"/>
    </w:p>
    <w:p>
      <w:pPr>
        <w:pStyle w:val="Heading3"/>
      </w:pPr>
      <w:r>
        <w:t>Percentual evitaveis cap 1 a 4 anos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7" w:name="percentual_evitaveis_cap_1_a_4_anos_ano"/>
      <w:r>
        <w:t>O percentual permite analisar a participação das causas evitáveis no conjunto dos óbitos de crianças de 1 a 4 anos em cada CAP. A série apresenta oscilações entre os territórios e os anos, especialmente em uma faixa etária com menor número absoluto de registros. Em alguns anos, determinadas CAPs atingem valores próximos ou iguais a 100%, indicando que os óbitos registrados naquele recorte foram classificados como evitáveis. Por isso, o percentual deve ser analisado junto ao número absoluto de óbitos, permitindo distinguir mudanças na composição das causas de variações decorrentes do pequeno número de registros.</w:t>
      </w:r>
      <w:bookmarkEnd w:id="27"/>
    </w:p>
    <w:p>
      <w:pPr>
        <w:pStyle w:val="Heading3"/>
      </w:pPr>
      <w:r>
        <w:t>Percentual evitaveis cap menores 5 anos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8" w:name="percentual_evitaveis_cap_menores_f7c82908"/>
      <w:r>
        <w:t>O percentual permite analisar a participação das causas evitáveis no conjunto dos óbitos de menores de 5 anos em cada CAP. Ao longo da série, os valores apresentam oscilações entre os territórios, permitindo observar mudanças na composição dos óbitos ao longo do tempo. Como esse recorte reúne as faixas de menores de 1 ano e de 1 a 4 anos, o indicador oferece uma visão agregada da participação das causas evitáveis na primeira infância. A análise conjunta com o número absoluto de óbitos permite distinguir alterações na proporção de causas evitáveis de variações no volume total de registros.</w:t>
      </w:r>
      <w:bookmarkEnd w:id="28"/>
    </w:p>
    <w:p>
      <w:pPr>
        <w:pStyle w:val="Heading3"/>
      </w:pPr>
      <w:r>
        <w:t>Taxa mortalidade evitaveis menores 5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9" w:name="taxa_mortalidade_evitaveis_menores_5_ano"/>
      <w:r>
        <w:t>A taxa relaciona os óbitos por causas evitáveis ao número de nascidos vivos, permitindo acompanhar a ocorrência do indicador ao longo do tempo. Em 2006, foram registrados 1.353 óbitos e taxa de 16,48 por mil nascidos vivos. Em 2025, foram 856 óbitos e 14,58 por mil, enquanto o menor valor da série ocorreu em 2014, com 13,10 por mil. A trajetória apresenta oscilações, inclusive nos anos mais recentes, quando a taxa passou de 14,28 em 2022 para 14,97 em 2023, 14,28 em 2024 e 14,58 em 2025. A série permite acompanhar conjuntamente a ocorrência dos óbitos e sua relação com os nascidos vivos.</w:t>
      </w:r>
      <w:bookmarkEnd w:id="29"/>
    </w:p>
    <w:p>
      <w:pPr>
        <w:pStyle w:val="Heading3"/>
      </w:pPr>
      <w:r>
        <w:t>Mapa obitos evitaveis menores 1 ano cap 2025  ✅</w:t>
      </w:r>
    </w:p>
    <w:p>
      <w:r>
        <w:drawing>
          <wp:inline xmlns:a="http://schemas.openxmlformats.org/drawingml/2006/main" xmlns:pic="http://schemas.openxmlformats.org/drawingml/2006/picture">
            <wp:extent cx="5029200" cy="3470148"/>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3470148"/>
                    </a:xfrm>
                    <a:prstGeom prst="rect"/>
                  </pic:spPr>
                </pic:pic>
              </a:graphicData>
            </a:graphic>
          </wp:inline>
        </w:drawing>
      </w:r>
    </w:p>
    <w:p>
      <w:bookmarkStart w:id="30" w:name="mapa_obitos_evitaveis_menores_1__18c6fb13"/>
      <w:r>
        <w:t>A distribuição territorial dos óbitos por causas evitáveis permite comparar a quantidade de registros entre as CAPs em 2025. Entre os menores de 1 ano, foram registrados 491 óbitos, sendo 89 na CAP 4.0, 84 na CAP 3.3 e 67 na CAP 5.2. Como são números absolutos, essa distribuição pode ser analisada em conjunto com o total de óbitos e o percentual de causas evitáveis de cada CAP. O cruzamento entre esses indicadores permite distinguir diferenças no volume de registros de diferenças na participação das causas evitáveis.</w:t>
      </w:r>
      <w:bookmarkEnd w:id="30"/>
    </w:p>
    <w:p>
      <w:pPr>
        <w:pStyle w:val="Heading3"/>
      </w:pPr>
      <w:r>
        <w:t>Mapa obitos evitaveis 1 a 4 anos cap 2025  ✅</w:t>
      </w:r>
    </w:p>
    <w:p>
      <w:r>
        <w:drawing>
          <wp:inline xmlns:a="http://schemas.openxmlformats.org/drawingml/2006/main" xmlns:pic="http://schemas.openxmlformats.org/drawingml/2006/picture">
            <wp:extent cx="5029200" cy="3470148"/>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3470148"/>
                    </a:xfrm>
                    <a:prstGeom prst="rect"/>
                  </pic:spPr>
                </pic:pic>
              </a:graphicData>
            </a:graphic>
          </wp:inline>
        </w:drawing>
      </w:r>
    </w:p>
    <w:p>
      <w:bookmarkStart w:id="31" w:name="mapa_obitos_evitaveis_1_a_4_anos_bafbfc56"/>
      <w:r>
        <w:t>A distribuição territorial permite comparar os registros de óbitos por causas evitáveis entre as CAPs para crianças de 1 a 4 anos em 2025. A CAP 3.3 apresentou 12 óbitos, seguida pelas CAPs 5.3, com 10, e 5.1, com 9. Como essa faixa etária apresenta números absolutos menores, as diferenças entre as CAPs devem ser interpretadas junto ao total de óbitos de cada território. O percentual de causas evitáveis complementa essa leitura, permitindo verificar quanto esses registros representam dentro do conjunto de óbitos de cada CAP.</w:t>
      </w:r>
      <w:bookmarkEnd w:id="31"/>
    </w:p>
    <w:p>
      <w:pPr>
        <w:pStyle w:val="Heading3"/>
      </w:pPr>
      <w:r>
        <w:t>Mapa obitos evitaveis menores 5 anos cap 2025  ✅</w:t>
      </w:r>
    </w:p>
    <w:p>
      <w:r>
        <w:drawing>
          <wp:inline xmlns:a="http://schemas.openxmlformats.org/drawingml/2006/main" xmlns:pic="http://schemas.openxmlformats.org/drawingml/2006/picture">
            <wp:extent cx="5029200" cy="3470148"/>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470148"/>
                    </a:xfrm>
                    <a:prstGeom prst="rect"/>
                  </pic:spPr>
                </pic:pic>
              </a:graphicData>
            </a:graphic>
          </wp:inline>
        </w:drawing>
      </w:r>
    </w:p>
    <w:p>
      <w:bookmarkStart w:id="32" w:name="mapa_obitos_evitaveis_menores_5__df30f8ec"/>
      <w:r>
        <w:t>Em 2025, foram registrados 557 óbitos por causas evitáveis entre menores de 5 anos. A maior concentração ocorreu nas CAPs 4.0 e 3.3, com 96 óbitos cada, seguidas pela CAP 5.2, com 74. O cruzamento com as faixas etárias mostra que os óbitos evitáveis de menores de 1 ano respondem pela maior parte dos registros em todas as CAPs. Na CAP 4.0, por exemplo, foram 89 dos 96 óbitos evitáveis; na CAP 3.3, 84 dos 96. Assim, o mapa de menores de 5 anos deve ser lido em conjunto com os recortes etários anteriores, que ajudam a identificar onde está concentrada essa ocorrência.</w:t>
      </w:r>
      <w:bookmarkEnd w:id="32"/>
    </w:p>
    <w:p>
      <w:pPr>
        <w:pStyle w:val="Heading3"/>
      </w:pPr>
      <w:r>
        <w:t>Mapa percentual evitaveis menores 1 ano cap 2025  ✅</w:t>
      </w:r>
    </w:p>
    <w:p>
      <w:r>
        <w:drawing>
          <wp:inline xmlns:a="http://schemas.openxmlformats.org/drawingml/2006/main" xmlns:pic="http://schemas.openxmlformats.org/drawingml/2006/picture">
            <wp:extent cx="5029200" cy="3138220"/>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138220"/>
                    </a:xfrm>
                    <a:prstGeom prst="rect"/>
                  </pic:spPr>
                </pic:pic>
              </a:graphicData>
            </a:graphic>
          </wp:inline>
        </w:drawing>
      </w:r>
    </w:p>
    <w:p>
      <w:bookmarkStart w:id="33" w:name="mapa_percentual_evitaveis_menore_dde05eb4"/>
      <w:r>
        <w:t>O percentual permite observar a participação das causas evitáveis no conjunto dos óbitos de menores de 1 ano em cada CAP, complementando o mapa de números absolutos. A comparação entre os dois indicadores ajuda a distinguir territórios com maior quantidade de óbitos daqueles em que as causas evitáveis representam uma parcela maior do total registrado. Essa leitura também permite identificar situações em que CAPs com volumes diferentes apresentam proporções semelhantes ou distintas. O indicador pode ainda ser relacionado à série histórica por CAP, verificando se as diferenças observadas em 2025 acompanham ou se afastam do comportamento registrado nos anos anteriores.</w:t>
      </w:r>
      <w:bookmarkEnd w:id="33"/>
    </w:p>
    <w:p>
      <w:pPr>
        <w:pStyle w:val="Heading3"/>
      </w:pPr>
      <w:r>
        <w:t>Mapa percentual evitaveis 1 a 4 anos cap 2025  ✅</w:t>
      </w:r>
    </w:p>
    <w:p>
      <w:r>
        <w:drawing>
          <wp:inline xmlns:a="http://schemas.openxmlformats.org/drawingml/2006/main" xmlns:pic="http://schemas.openxmlformats.org/drawingml/2006/picture">
            <wp:extent cx="5029200" cy="3304184"/>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304184"/>
                    </a:xfrm>
                    <a:prstGeom prst="rect"/>
                  </pic:spPr>
                </pic:pic>
              </a:graphicData>
            </a:graphic>
          </wp:inline>
        </w:drawing>
      </w:r>
    </w:p>
    <w:p>
      <w:bookmarkStart w:id="34" w:name="mapa_percentual_evitaveis_1_a_4__86855c81"/>
      <w:r>
        <w:t>O percentual evidencia quanto as causas evitáveis representam do conjunto de óbitos de crianças de 1 a 4 anos em cada CAP, permitindo uma leitura diferente daquela obtida pelos números absolutos. Nesse recorte, em que os registros são menos numerosos, diferenças na proporção podem resultar de pequenas variações na quantidade de óbitos. Por isso, o indicador ganha maior significado quando analisado junto aos números absolutos e ao percentual das demais faixas etárias. A comparação com o mapa de menores de 1 ano também permite verificar se a participação das causas evitáveis apresenta comportamento territorial semelhante ou diferente entre os grupos etários.</w:t>
      </w:r>
      <w:bookmarkEnd w:id="34"/>
    </w:p>
    <w:p>
      <w:pPr>
        <w:pStyle w:val="Heading3"/>
      </w:pPr>
      <w:r>
        <w:t>Mapa percentual evitaveis menores 5 anos cap 2025  ✅</w:t>
      </w:r>
    </w:p>
    <w:p>
      <w:r>
        <w:drawing>
          <wp:inline xmlns:a="http://schemas.openxmlformats.org/drawingml/2006/main" xmlns:pic="http://schemas.openxmlformats.org/drawingml/2006/picture">
            <wp:extent cx="5029200" cy="3108046"/>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108046"/>
                    </a:xfrm>
                    <a:prstGeom prst="rect"/>
                  </pic:spPr>
                </pic:pic>
              </a:graphicData>
            </a:graphic>
          </wp:inline>
        </w:drawing>
      </w:r>
    </w:p>
    <w:p>
      <w:bookmarkStart w:id="35" w:name="mapa_percentual_evitaveis_menore_f3f74434"/>
      <w:r>
        <w:t>O percentual mostra o peso das causas evitáveis no conjunto dos óbitos de menores de 5 anos em cada CAP. Em 2025, a participação variou de 40,00% na CAP 2.1 a 75,00% na CAP 2.2. A comparação com os números absolutos acrescenta contexto à leitura: a CAP 2.2 teve 15 óbitos evitáveis entre 20 registros, enquanto a CAP 3.3 teve 96 entre 131. Assim, o percentual permite analisar a composição dos óbitos sem confundi-la com o volume de registros, e pode ser relacionado aos recortes de menores de 1 ano e de 1 a 4 anos.</w:t>
      </w:r>
      <w:bookmarkEnd w:id="35"/>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524658"/>
                    </a:xfrm>
                    <a:prstGeom prst="rect"/>
                  </pic:spPr>
                </pic:pic>
              </a:graphicData>
            </a:graphic>
          </wp:inline>
        </w:drawing>
      </w:r>
    </w:p>
    <w:p>
      <w:bookmarkStart w:id="36" w:name="taxa_mortalidade_infantil_ano"/>
      <w:r>
        <w:t>A série histórica apresenta oscilações entre 2006 e 2025, com redução até 2017, quando atingiu 11,26 óbitos por mil nascidos vivos. A partir de 2018, observa-se uma retomada gradual, chegando a 13,03 em 2024 e 13,06 em 2025. A comparação ao longo do período permite identificar mudanças no comportamento do indicador e relacioná-las às variações no número de óbitos e de nascidos vivos. A trajetória também pode ser analisada em conjunto com os diferentes componentes da mortalidade na primeira infância.</w:t>
      </w:r>
      <w:bookmarkEnd w:id="36"/>
    </w:p>
    <w:p>
      <w:pPr>
        <w:pStyle w:val="Heading3"/>
      </w:pPr>
      <w:r>
        <w:t>Taxa mortalidade pos neonatal ano  ✏️</w:t>
      </w:r>
    </w:p>
    <w:p>
      <w:r>
        <w:drawing>
          <wp:inline xmlns:a="http://schemas.openxmlformats.org/drawingml/2006/main" xmlns:pic="http://schemas.openxmlformats.org/drawingml/2006/picture">
            <wp:extent cx="5029200" cy="2519629"/>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519629"/>
                    </a:xfrm>
                    <a:prstGeom prst="rect"/>
                  </pic:spPr>
                </pic:pic>
              </a:graphicData>
            </a:graphic>
          </wp:inline>
        </w:drawing>
      </w:r>
    </w:p>
    <w:p>
      <w:bookmarkStart w:id="37" w:name="taxa_mortalidade_pos_neonatal_ano"/>
      <w:r>
        <w:t>Ao longo da série, o indicador apresenta oscilações, com valores mais elevados no início do período e redução até 2020, quando atingiu 3,70 óbitos por mil nascidos vivos. A partir de 2021, observa-se retomada dos valores, chegando a 4,65 em 2024 e 4,48 em 2025. A comparação entre os anos permite identificar mudanças no comportamento desse componente da mortalidade infantil e verificar como sua trajetória se relaciona às variações observadas na taxa de mortalidade infantil total.</w:t>
      </w:r>
      <w:bookmarkEnd w:id="37"/>
    </w:p>
    <w:p>
      <w:pPr>
        <w:pStyle w:val="Heading3"/>
      </w:pPr>
      <w:r>
        <w:t>Mapa taxa mortalidade infantil bairro 2025  ✏️</w:t>
      </w:r>
    </w:p>
    <w:p>
      <w:r>
        <w:drawing>
          <wp:inline xmlns:a="http://schemas.openxmlformats.org/drawingml/2006/main" xmlns:pic="http://schemas.openxmlformats.org/drawingml/2006/picture">
            <wp:extent cx="5029200" cy="3439973"/>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439973"/>
                    </a:xfrm>
                    <a:prstGeom prst="rect"/>
                  </pic:spPr>
                </pic:pic>
              </a:graphicData>
            </a:graphic>
          </wp:inline>
        </w:drawing>
      </w:r>
    </w:p>
    <w:p>
      <w:bookmarkStart w:id="38" w:name="mapa_taxa_mortalidade_infantil_b_8f9e6563"/>
      <w:r>
        <w:t>Em 2025, alguns bairros apresentaram taxas elevadas mesmo com poucos registros de óbitos. Em Cidade Nova, foram 2 óbitos entre 42 nascidos vivos, resultando em 47,62 óbitos por mil nascidos vivos. Em Camorim, 1 óbito entre 35 nascidos vivos correspondeu a 28,57 por mil, enquanto em Pitangueiras foram 2 óbitos entre 76 nascidos vivos, com taxa de 26,32 por mil. Esses exemplos mostram como o número de nascidos vivos influencia a taxa e reforçam a importância de analisá-la junto aos valores absolutos.</w:t>
      </w:r>
      <w:bookmarkEnd w:id="38"/>
    </w:p>
    <w:p>
      <w:pPr>
        <w:pStyle w:val="Heading3"/>
      </w:pPr>
      <w:r>
        <w:t>Mapa taxa mortalidade pos neonatal bairro 2025  ✏️</w:t>
      </w:r>
    </w:p>
    <w:p>
      <w:r>
        <w:drawing>
          <wp:inline xmlns:a="http://schemas.openxmlformats.org/drawingml/2006/main" xmlns:pic="http://schemas.openxmlformats.org/drawingml/2006/picture">
            <wp:extent cx="5029200" cy="3439973"/>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439973"/>
                    </a:xfrm>
                    <a:prstGeom prst="rect"/>
                  </pic:spPr>
                </pic:pic>
              </a:graphicData>
            </a:graphic>
          </wp:inline>
        </w:drawing>
      </w:r>
    </w:p>
    <w:p>
      <w:bookmarkStart w:id="39" w:name="mapa_taxa_mortalidade_pos_neonat_26adf955"/>
      <w:r>
        <w:t>A taxa permite comparar os bairros considerando o número de nascidos vivos de cada território. Em 2025, os maiores valores ocorreram em Cidade Nova (47,62 por mil), Camorim (28,57) e Pitangueiras (26,32). Esses valores correspondem a poucos registros de óbitos: 2 em Cidade Nova, 1 em Camorim e 2 em Pitangueiras. A leitura conjunta da taxa com o número de óbitos e de nascidos vivos é importante para contextualizar as diferenças entre os territórios, especialmente nos bairros com menor número de nascimentos.</w:t>
      </w:r>
      <w:bookmarkEnd w:id="39"/>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  ◐</w:t>
      </w:r>
    </w:p>
    <w:p>
      <w:pPr>
        <w:pStyle w:val="Heading3"/>
      </w:pPr>
      <w:r>
        <w:t>Obitos causas evitaveis grupo ano  ✅</w:t>
      </w:r>
    </w:p>
    <w:p>
      <w:r>
        <w:drawing>
          <wp:inline xmlns:a="http://schemas.openxmlformats.org/drawingml/2006/main" xmlns:pic="http://schemas.openxmlformats.org/drawingml/2006/picture">
            <wp:extent cx="5029200" cy="2519629"/>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19629"/>
                    </a:xfrm>
                    <a:prstGeom prst="rect"/>
                  </pic:spPr>
                </pic:pic>
              </a:graphicData>
            </a:graphic>
          </wp:inline>
        </w:drawing>
      </w:r>
    </w:p>
    <w:p>
      <w:bookmarkStart w:id="40" w:name="obitos_causas_evitaveis_grupo_ano"/>
      <w:r>
        <w:t>Entre 1996 e 2025, observa-se uma redução expressiva dos óbitos de crianças de 0 a 364 dias por causas evitáveis. O número caiu de cerca de 1,5 mil registros no início da série para 502 em 2025. As causas mal definidas também apresentaram forte redução, chegando a 15 registros, enquanto as demais causas recuaram de forma mais moderada, alcançando 206 óbitos em 2025.</w:t>
      </w:r>
      <w:bookmarkEnd w:id="40"/>
    </w:p>
    <w:p>
      <w:pPr>
        <w:pStyle w:val="Heading3"/>
      </w:pPr>
      <w:r>
        <w:t>Obitos causas evitaveis subgrupo ano  ✅</w:t>
      </w:r>
    </w:p>
    <w:p>
      <w:r>
        <w:drawing>
          <wp:inline xmlns:a="http://schemas.openxmlformats.org/drawingml/2006/main" xmlns:pic="http://schemas.openxmlformats.org/drawingml/2006/picture">
            <wp:extent cx="5029200" cy="2519629"/>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19629"/>
                    </a:xfrm>
                    <a:prstGeom prst="rect"/>
                  </pic:spPr>
                </pic:pic>
              </a:graphicData>
            </a:graphic>
          </wp:inline>
        </w:drawing>
      </w:r>
    </w:p>
    <w:p>
      <w:bookmarkStart w:id="41" w:name="obitos_causas_evitaveis_subgrupo_ano"/>
      <w:r>
        <w:t>Nos subgrupos de causas evitáveis, observa-se redução ao longo da série na maior parte das categorias. Os óbitos reduzíveis por adequada atenção à mulher na gestação permanecem como o principal grupo em 2025, com 263 registros. Também houve queda expressiva nos óbitos relacionados à atenção ao recém-nascido, que passaram de 543 em 1996 para 67 em 2025, enquanto aqueles relacionados à atenção à mulher no parto chegaram a 68 registros.</w:t>
      </w:r>
      <w:bookmarkEnd w:id="41"/>
    </w:p>
    <w:p>
      <w:pPr>
        <w:pStyle w:val="Heading3"/>
      </w:pPr>
      <w:r>
        <w:t>Obitos causas evitaveis grupo 0 a 6 dias ano  ✅</w:t>
      </w:r>
    </w:p>
    <w:p>
      <w:r>
        <w:drawing>
          <wp:inline xmlns:a="http://schemas.openxmlformats.org/drawingml/2006/main" xmlns:pic="http://schemas.openxmlformats.org/drawingml/2006/picture">
            <wp:extent cx="5029200" cy="2519629"/>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19629"/>
                    </a:xfrm>
                    <a:prstGeom prst="rect"/>
                  </pic:spPr>
                </pic:pic>
              </a:graphicData>
            </a:graphic>
          </wp:inline>
        </w:drawing>
      </w:r>
    </w:p>
    <w:p>
      <w:bookmarkStart w:id="42" w:name="obitos_causas_evitaveis_grupo_0__2f7d770b"/>
      <w:r>
        <w:t>Entre 1996 e 2025, os óbitos de crianças de 0 a 6 dias apresentaram queda expressiva.  As causas evitáveis permaneceram como o principal grupo durante toda a série, reduzindo-se para 269 registros em 2025. No mesmo ano, as demais causas somaram 62 óbitos, enquanto as causas mal definidas ficaram em apenas 2 registros.</w:t>
      </w:r>
      <w:bookmarkEnd w:id="42"/>
    </w:p>
    <w:p>
      <w:pPr>
        <w:pStyle w:val="Heading3"/>
      </w:pPr>
      <w:r>
        <w:t>Obitos causas evitaveis subgrupo 0 a 6 dias ano  ✅</w:t>
      </w:r>
    </w:p>
    <w:p>
      <w:r>
        <w:drawing>
          <wp:inline xmlns:a="http://schemas.openxmlformats.org/drawingml/2006/main" xmlns:pic="http://schemas.openxmlformats.org/drawingml/2006/picture">
            <wp:extent cx="5029200" cy="2519629"/>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2519629"/>
                    </a:xfrm>
                    <a:prstGeom prst="rect"/>
                  </pic:spPr>
                </pic:pic>
              </a:graphicData>
            </a:graphic>
          </wp:inline>
        </w:drawing>
      </w:r>
    </w:p>
    <w:p>
      <w:bookmarkStart w:id="43" w:name="obitos_causas_evitaveis_subgrupo_42391d7a"/>
      <w:r>
        <w:t>Entre 1996 e 2025, os óbitos de crianças de 0 a 6 dias apresentaram redução em praticamente todos os subgrupos. As causas reduzíveis por atenção à mulher na gestação permaneceram como o principal componente, chegando a 183 registros em 2025. Também houve queda importante nos óbitos relacionados à atenção ao recém-nascido e à atenção à mulher no parto, enquanto as causas mal definidas ficaram em apenas 2 registros no final da série.</w:t>
      </w:r>
      <w:bookmarkEnd w:id="43"/>
    </w:p>
    <w:p>
      <w:pPr>
        <w:pStyle w:val="Heading3"/>
      </w:pPr>
      <w:r>
        <w:t>Obitos causas evitaveis grupo 7 a 27 dias ano  ✅</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2519629"/>
                    </a:xfrm>
                    <a:prstGeom prst="rect"/>
                  </pic:spPr>
                </pic:pic>
              </a:graphicData>
            </a:graphic>
          </wp:inline>
        </w:drawing>
      </w:r>
    </w:p>
    <w:p>
      <w:bookmarkStart w:id="44" w:name="obitos_causas_evitaveis_grupo_7__a417769c"/>
      <w:r>
        <w:t>Entre 1996 e 2025, os óbitos entre 7 e 27 dias de vida apresentaram tendência de queda. As causas evitáveis permaneceram como o principal grupo, passando de níveis próximos a 250-280 registros no início da série para 99 em 2025. As demais causas também diminuíram, chegando a 42 registros, enquanto as causas mal definidas ficaram praticamente zeradas no final do período.</w:t>
      </w:r>
      <w:bookmarkEnd w:id="44"/>
    </w:p>
    <w:p>
      <w:pPr>
        <w:pStyle w:val="Heading3"/>
      </w:pPr>
      <w:r>
        <w:t>Obitos causas evitaveis subgrupo 7 a 27 dias ano  ✏️</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5" w:name="obitos_causas_evitaveis_subgrupo_ddc68472"/>
      <w:r>
        <w:t>Entre 1996 e 2025, os óbitos entre 7 e 27 dias de vida apresentaram tendência de queda na maior parte dos subgrupos.  A maior queda ocorreu nas causas reduzíveis por adequada atenção ao recém-nascido, que passaram de 157 registros em 1996 para 20 em 2025. Já as causas relacionadas à atenção a mulher na gestação permaneceram como o principal subgrupo no final da série, com 64 óbitos em 2025. Os demais apresentaram valores mais abaixos.</w:t>
      </w:r>
      <w:bookmarkEnd w:id="45"/>
    </w:p>
    <w:p>
      <w:pPr>
        <w:pStyle w:val="Heading3"/>
      </w:pPr>
      <w:r>
        <w:t>Obitos causas evitaveis grupo 28 a 364 dias ano  ✅</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6" w:name="obitos_causas_evitaveis_grupo_28_ee4ec937"/>
      <w:r>
        <w:t>Entre 1996 e 2025, os óbitos entre 28 e 364 dias apresentaram tendência de redução. As causas evitáveis permaneceram como o principal grupo, passando de 461 registros em 1996 para 134 em 2025. As demais causas também diminuíram, chegando a 102 óbitos, enquanto as causas mal definidas apresentaram a maior redução proporcional, passando de 108 para 13 registros.</w:t>
      </w:r>
      <w:bookmarkEnd w:id="46"/>
    </w:p>
    <w:p>
      <w:pPr>
        <w:pStyle w:val="Heading3"/>
      </w:pPr>
      <w:r>
        <w:t>Obitos causas evitaveis subgrupo 28 a 364 dias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7" w:name="obitos_causas_evitaveis_subgrupo_c49bc893"/>
      <w:r>
        <w:t>Entre 1996 e 2025, os óbitos entre 28 e 364 dias apresentaram queda na maior parte dos subgrupos. O principal destaque é a redução dos óbitos reduzíveis por ações de diagnóstico e tratamento adequado, que saíram de patamares muito elevados no início da série e chegaram a 43 registros em 2025. No final do período, os maiores valores ficaram em ações de promoção vinculadas às ações de atenção, com 56 óbitos, seguidas por diagnóstico e tratamento adequado, enquanto os demais subgrupos apresentaram números mais baixos.</w:t>
      </w:r>
      <w:bookmarkEnd w:id="47"/>
    </w:p>
    <w:p>
      <w:r>
        <w:rPr>
          <w:i/>
          <w:color w:val="1F4E79"/>
          <w:sz w:val="18"/>
        </w:rPr>
        <w:t>📝 Nota do update 3 (2026-09-25),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937053"/>
                    </a:xfrm>
                    <a:prstGeom prst="rect"/>
                  </pic:spPr>
                </pic:pic>
              </a:graphicData>
            </a:graphic>
          </wp:inline>
        </w:drawing>
      </w:r>
    </w:p>
    <w:p>
      <w:bookmarkStart w:id="48"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48"/>
    </w:p>
    <w:p>
      <w:pPr>
        <w:pStyle w:val="Heading3"/>
      </w:pPr>
      <w:r>
        <w:t>Obitos evitaveis menores 1 ano subgrupo ano  ⬜</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9"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49"/>
    </w:p>
    <w:p>
      <w:pPr>
        <w:pStyle w:val="Heading3"/>
      </w:pPr>
      <w:r>
        <w:t>Obitos evitaveis 1 a 4 anos subgrupo ano  ⬜</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50"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0"/>
    </w:p>
    <w:p>
      <w:pPr>
        <w:pStyle w:val="Heading3"/>
      </w:pPr>
      <w:r>
        <w:t>Obitos evitaveis menores 5 subgrupo ano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51"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1"/>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  🚧</w:t>
      </w:r>
    </w:p>
    <w:p>
      <w:pPr>
        <w:pStyle w:val="IntenseQuote"/>
      </w:pPr>
      <w:r>
        <w:t>[PENDENTE] os 4 gráficos (`obitos_causas_evitaveis_raca_ano`, `…_sem_nao_informado_ano`, `percentual_mortalidade_causas_evitaveis_raca_ano`, `…_sem_nao_informado_ano`) e a tabela `mortalidade_causas_evitaveis_raca_municipio_ano.csv` foram removidos do relatório em 2026-09-25 (specs/2026-09-25_relatorio_latex, D6): as chamadas que os geravam estão comentadas em analise.py, então os arquivos no disco são antigos. Ver também a nota de analise.py: o cruzamento por raça/cor desse arquivo não é filtrado só para causas evitáveis</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2"/>
      </w:pPr>
      <w:r>
        <w:t>Síntese do eixo — Prioridade  ⬜</w:t>
      </w:r>
    </w:p>
    <w:p>
      <w:bookmarkStart w:id="52" w:name="sintese_prioridade"/>
      <w:r>
        <w:t>Vestibulum eaque diam dignissim cillum eleifend ipsum enim praesent viverra omnis hendrerit ea maiores mollis ex iste ratione nec cupidatat perferendis ac porro doloribus beatae hendrerit omnis incididunt qui imperdiet massa tempora recusandae at dapibus vitae fames magni justo viverra mauris venenatis aute repudiandae iste dolores sed vitae tellus excepteur viverra explicabo iure labore lorem architecto ad duis autem a aliquam autem laboriosam exercitationem lorem temporibus ante felis dui iure tincidunt tellus ac officia debitis nulla nulla ullamco hic eleifend curae illo repudiandae justo fames illo aute vitae irure dictum autem fringilla posuere sagittis dolor pede consequatur cupidatat dolore voluptatem curae habitant leo lacus porttitor consectetuer tellus ipsam nec nonummy exercitation anim totam aliquam delectus dignissim non magnam beatae consectetuer rem dolor curabitur enim proident commodi ac vitae potenti lobortis dolorem cillum dignissim adipiscing ipsum duis ea posuere omnis felis omnis ante nec enim aliqua dolor aut cras curabitur aperiam alias aute ut qui omnis et eius quam sunt duis ligula nemo rerum eget aut vulputate incidunt orci magni ea feugiat fames ullam dolor incidunt fugit vitae eget amet sequi nesciunt cillum faucibus porttitor ex officia tristique consequat integer.</w:t>
      </w:r>
      <w:bookmarkEnd w:id="52"/>
    </w:p>
    <w:p>
      <w:pPr>
        <w:pStyle w:val="Heading1"/>
      </w:pPr>
      <w:r>
        <w:t>🤝 Inclusão</w:t>
      </w:r>
    </w:p>
    <w:p>
      <w:pPr>
        <w:pStyle w:val="Heading2"/>
      </w:pPr>
      <w:r>
        <w:t>Principais achados — Inclusão  ⬜</w:t>
      </w:r>
    </w:p>
    <w:p>
      <w:r>
        <w:rPr>
          <w:i/>
        </w:rPr>
        <w:t>Uma frase por linha (Shift+Enter entre as frases).</w:t>
      </w:r>
    </w:p>
    <w:p>
      <w:bookmarkStart w:id="53" w:name="achados_inclusao"/>
      <w:r>
        <w:t>Eum duis reprehenderit a faucibus lacus autem donec vestibulum anim praesent facilisi.</w:t>
        <w:br/>
        <w:t>Eos enim mauris aliqua malesuada mauris sint imperdiet quae excepteur consequat eu.</w:t>
        <w:br/>
        <w:t>Aut nemo enim fugiat explicabo incidunt tenetur delectus arcu orci dapibus do.</w:t>
        <w:br/>
        <w:t>Libero aliquet nec duis dictum minima duis nec vitae consectetuer luctus labore.</w:t>
        <w:br/>
        <w:t>Sagittis reprehenderit illo lorem nunc incidunt earum suscipit non vel aenean netus.</w:t>
      </w:r>
      <w:bookmarkEnd w:id="53"/>
    </w:p>
    <w:p>
      <w:pPr>
        <w:pStyle w:val="Heading2"/>
      </w:pPr>
      <w:r>
        <w:t>Crianças até 6 anos, por sexo  ✏️</w:t>
      </w:r>
    </w:p>
    <w:p>
      <w:pPr>
        <w:pStyle w:val="Heading3"/>
      </w:pPr>
      <w:r>
        <w:t>Censo sidra populacao 0 6 sexo 2022  ✏️</w:t>
      </w:r>
    </w:p>
    <w:p>
      <w:r>
        <w:drawing>
          <wp:inline xmlns:a="http://schemas.openxmlformats.org/drawingml/2006/main" xmlns:pic="http://schemas.openxmlformats.org/drawingml/2006/picture">
            <wp:extent cx="5029200" cy="2942082"/>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942082"/>
                    </a:xfrm>
                    <a:prstGeom prst="rect"/>
                  </pic:spPr>
                </pic:pic>
              </a:graphicData>
            </a:graphic>
          </wp:inline>
        </w:drawing>
      </w:r>
    </w:p>
    <w:p>
      <w:bookmarkStart w:id="54" w:name="censo_sidra_populacao_0_6_sexo_2022"/>
      <w:r>
        <w:t>Os dados do Censo Demográfico 2022 permitem detalhar a população de crianças até 6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54"/>
    </w:p>
    <w:p>
      <w:r>
        <w:rPr>
          <w:i/>
        </w:rPr>
        <w:t>Tabela de apoio: `censo_sidra_populacao_0_6_sexo_2022.csv`</w:t>
      </w:r>
    </w:p>
    <w:p>
      <w:pPr>
        <w:pStyle w:val="Heading2"/>
      </w:pPr>
      <w:r>
        <w:t>Crianças até 6 anos,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42082"/>
                    </a:xfrm>
                    <a:prstGeom prst="rect"/>
                  </pic:spPr>
                </pic:pic>
              </a:graphicData>
            </a:graphic>
          </wp:inline>
        </w:drawing>
      </w:r>
    </w:p>
    <w:p>
      <w:bookmarkStart w:id="55"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55"/>
    </w:p>
    <w:p>
      <w:r>
        <w:rPr>
          <w:i/>
        </w:rPr>
        <w:t>Tabela de apoio: `censo_sidra_populacao_0_6_raca_2022.csv`</w:t>
      </w:r>
    </w:p>
    <w:p>
      <w:pPr>
        <w:pStyle w:val="Heading2"/>
      </w:pPr>
      <w:r>
        <w:t>Crianças até 6 anos frequentando escola/creche, por raça/cor  ⬜</w:t>
      </w:r>
    </w:p>
    <w:p>
      <w:pPr>
        <w:pStyle w:val="Heading3"/>
      </w:pPr>
      <w:r>
        <w:t>Sidra taxa frequencia 0 6 raca 2022  ⬜</w:t>
      </w:r>
    </w:p>
    <w:p>
      <w:r>
        <w:drawing>
          <wp:inline xmlns:a="http://schemas.openxmlformats.org/drawingml/2006/main" xmlns:pic="http://schemas.openxmlformats.org/drawingml/2006/picture">
            <wp:extent cx="5029200" cy="2937053"/>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937053"/>
                    </a:xfrm>
                    <a:prstGeom prst="rect"/>
                  </pic:spPr>
                </pic:pic>
              </a:graphicData>
            </a:graphic>
          </wp:inline>
        </w:drawing>
      </w:r>
    </w:p>
    <w:p>
      <w:bookmarkStart w:id="56"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56"/>
    </w:p>
    <w:p>
      <w:r>
        <w:rPr>
          <w:i/>
        </w:rPr>
        <w:t>Tabela de apoio: `sidra_taxa_frequencia_0_6_raca_2022.csv`</w:t>
      </w:r>
    </w:p>
    <w:p>
      <w:pPr>
        <w:pStyle w:val="Heading2"/>
      </w:pPr>
      <w:r>
        <w:t>Crianças até 6 anos frequentando escola/creche, por sexo  ⬜</w:t>
      </w:r>
    </w:p>
    <w:p>
      <w:pPr>
        <w:pStyle w:val="Heading3"/>
      </w:pPr>
      <w:r>
        <w:t>Sidra taxa frequencia 0 6 sexo 2022  ⬜</w:t>
      </w:r>
    </w:p>
    <w:p>
      <w:r>
        <w:drawing>
          <wp:inline xmlns:a="http://schemas.openxmlformats.org/drawingml/2006/main" xmlns:pic="http://schemas.openxmlformats.org/drawingml/2006/picture">
            <wp:extent cx="5029200" cy="2937053"/>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937053"/>
                    </a:xfrm>
                    <a:prstGeom prst="rect"/>
                  </pic:spPr>
                </pic:pic>
              </a:graphicData>
            </a:graphic>
          </wp:inline>
        </w:drawing>
      </w:r>
    </w:p>
    <w:p>
      <w:bookmarkStart w:id="57"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57"/>
    </w:p>
    <w:p>
      <w:r>
        <w:rPr>
          <w:i/>
        </w:rPr>
        <w:t>Tabela de apoio: `sidra_taxa_frequencia_0_6_sexo_2022.csv`</w:t>
      </w:r>
    </w:p>
    <w:p>
      <w:pPr>
        <w:pStyle w:val="Heading2"/>
      </w:pPr>
      <w:r>
        <w:t>Crianças de 0 a 5 anos no CadÚnico em relação à população do município  ⬜</w:t>
      </w:r>
    </w:p>
    <w:p>
      <w:bookmarkStart w:id="58" w:name="InclusoCrianasde0a5anosnoCadnico_bdc2b96f"/>
      <w:r>
        <w:t>Sint quia at massa praesent dignissim pretium ipsam praesent incididunt perspiciatis pellentesque semper illum magnam quam felis voluptate tempor dignissim dapibus natus officiis ipsum voluptatibus esse diam pede fringilla vitae quia ea vitae eget elementum exercitationem rem pretium reprehenderit posuere pretium netus ipsum amet vitae quaerat voluptas lorem feugiat et dolor alias rhoncus officia posuere sit illo libero veritatis error eleifend laboris cubilia vitae turpis vitae turpis turpis ipsum massa mauris neque veniam magnam vulputate voluptate perspiciatis repellat saepe qui ullam ullam donec nulla eu reiciendis venenatis mollis do porttitor proin do voluptas ipsum enim minim diam perspiciatis lorem dapibus senectus dolor turpis vulputate debitis nullam mus repellat delectus nisi turpis imperdiet diam maiores culpa ut nunc eget dolor tristique praesent consequat dapibus officiis illum quaerat nunc dictum quaerat mauris lectus eius irure enim explicabo quae iure morbi dolor qui eu semper vitae sed eu dictum pede adipisci lorem commodo eget aliqua arcu donec enim natus enim alias esse culpa quis ad temporibus aliqua doloribus.</w:t>
      </w:r>
      <w:bookmarkEnd w:id="58"/>
    </w:p>
    <w:p>
      <w:pPr>
        <w:pStyle w:val="Heading2"/>
      </w:pPr>
      <w:r>
        <w:t>Famílias no CadÚnico com crianças até 6 anos, por sexo  ⬜</w:t>
      </w:r>
    </w:p>
    <w:p>
      <w:pPr>
        <w:pStyle w:val="Heading3"/>
      </w:pPr>
      <w:r>
        <w:t>Cadunico criancas por sexo  ⬜</w:t>
      </w:r>
    </w:p>
    <w:p>
      <w:r>
        <w:drawing>
          <wp:inline xmlns:a="http://schemas.openxmlformats.org/drawingml/2006/main" xmlns:pic="http://schemas.openxmlformats.org/drawingml/2006/picture">
            <wp:extent cx="5029200" cy="3022549"/>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3022549"/>
                    </a:xfrm>
                    <a:prstGeom prst="rect"/>
                  </pic:spPr>
                </pic:pic>
              </a:graphicData>
            </a:graphic>
          </wp:inline>
        </w:drawing>
      </w:r>
    </w:p>
    <w:p>
      <w:bookmarkStart w:id="59"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 ipsum fringilla in perspiciatis amet eaque consequat facere praesent voluptate suscipit enim vitae earum dicta dolores senectus odit nisi sapien tellus inventore.</w:t>
      </w:r>
      <w:bookmarkEnd w:id="59"/>
    </w:p>
    <w:p>
      <w:pPr>
        <w:pStyle w:val="Heading3"/>
      </w:pPr>
      <w:r>
        <w:t>Cadunico familias por sexo criancas  ⬜</w:t>
      </w:r>
    </w:p>
    <w:p>
      <w:r>
        <w:drawing>
          <wp:inline xmlns:a="http://schemas.openxmlformats.org/drawingml/2006/main" xmlns:pic="http://schemas.openxmlformats.org/drawingml/2006/picture">
            <wp:extent cx="5029200" cy="3027578"/>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3027578"/>
                    </a:xfrm>
                    <a:prstGeom prst="rect"/>
                  </pic:spPr>
                </pic:pic>
              </a:graphicData>
            </a:graphic>
          </wp:inline>
        </w:drawing>
      </w:r>
    </w:p>
    <w:p>
      <w:bookmarkStart w:id="60"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 eleifend eius asperiores scelerisque commodi scelerisque enim eleifend.</w:t>
      </w:r>
      <w:bookmarkEnd w:id="60"/>
    </w:p>
    <w:p>
      <w:r>
        <w:rPr>
          <w:i/>
        </w:rPr>
        <w:t>Tabela de apoio: `cadunico_por_sexo_2026.csv`, `tabela_mapa_cadunico_recortes_bairro_2026.csv`</w:t>
      </w:r>
    </w:p>
    <w:p>
      <w:pPr>
        <w:pStyle w:val="Heading2"/>
      </w:pPr>
      <w:r>
        <w:t>Famílias no CadÚnico com crianças até 6 anos, por raça/cor  ⬜</w:t>
      </w:r>
    </w:p>
    <w:p>
      <w:pPr>
        <w:pStyle w:val="Heading3"/>
      </w:pPr>
      <w:r>
        <w:t>Cadunico criancas por raca cor  ⬜</w:t>
      </w:r>
    </w:p>
    <w:p>
      <w:r>
        <w:drawing>
          <wp:inline xmlns:a="http://schemas.openxmlformats.org/drawingml/2006/main" xmlns:pic="http://schemas.openxmlformats.org/drawingml/2006/picture">
            <wp:extent cx="5029200" cy="302254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3022549"/>
                    </a:xfrm>
                    <a:prstGeom prst="rect"/>
                  </pic:spPr>
                </pic:pic>
              </a:graphicData>
            </a:graphic>
          </wp:inline>
        </w:drawing>
      </w:r>
    </w:p>
    <w:p>
      <w:bookmarkStart w:id="61"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 aliquid nec ac officiis quam facilisi non libero orci irure magnam voluptas aspernatur aliquam fringilla vitae aliquid metus lorem diam vel potenti donec necessitatibus ante quam egestas lorem senectus architecto nunc ac turpis aenean leo vivamus.</w:t>
      </w:r>
      <w:bookmarkEnd w:id="61"/>
    </w:p>
    <w:p>
      <w:pPr>
        <w:pStyle w:val="Heading3"/>
      </w:pPr>
      <w:r>
        <w:t>Cadunico familias por raca cor  ⬜</w:t>
      </w:r>
    </w:p>
    <w:p>
      <w:r>
        <w:drawing>
          <wp:inline xmlns:a="http://schemas.openxmlformats.org/drawingml/2006/main" xmlns:pic="http://schemas.openxmlformats.org/drawingml/2006/picture">
            <wp:extent cx="5029200" cy="3027578"/>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3027578"/>
                    </a:xfrm>
                    <a:prstGeom prst="rect"/>
                  </pic:spPr>
                </pic:pic>
              </a:graphicData>
            </a:graphic>
          </wp:inline>
        </w:drawing>
      </w:r>
    </w:p>
    <w:p>
      <w:bookmarkStart w:id="62"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 duis reiciendis reprehenderit quam eius sit modi itaque hic corporis aliquet vel ante incidunt venenatis.</w:t>
      </w:r>
      <w:bookmarkEnd w:id="62"/>
    </w:p>
    <w:p>
      <w:pPr>
        <w:pStyle w:val="Heading3"/>
      </w:pPr>
      <w:r>
        <w:t>Mapa percentual cadunico criancas negras bairro 2026  ⬜</w:t>
      </w:r>
    </w:p>
    <w:p>
      <w:r>
        <w:drawing>
          <wp:inline xmlns:a="http://schemas.openxmlformats.org/drawingml/2006/main" xmlns:pic="http://schemas.openxmlformats.org/drawingml/2006/picture">
            <wp:extent cx="5029200" cy="3470148"/>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3470148"/>
                    </a:xfrm>
                    <a:prstGeom prst="rect"/>
                  </pic:spPr>
                </pic:pic>
              </a:graphicData>
            </a:graphic>
          </wp:inline>
        </w:drawing>
      </w:r>
    </w:p>
    <w:p>
      <w:bookmarkStart w:id="63"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 metus eius exercitation tristique curae autem ligula sequi voluptate ullam fringilla tristique eu illo condimentum donec mollit suspendisse aliquam dolores ligula netus vitae ea sapiente id inventore in pede eu curae rem et explicabo turpis rerum vitae dolore rerum ut tristique ipsam nihil repellendus dolor.</w:t>
      </w:r>
      <w:bookmarkEnd w:id="63"/>
    </w:p>
    <w:p>
      <w:r>
        <w:rPr>
          <w:i/>
        </w:rPr>
        <w:t>Tabela de apoio: `cadunico_por_raca_cor_2026.csv`, `tabela_mapa_cadunico_recortes_bairro_2026.csv`</w:t>
      </w:r>
    </w:p>
    <w:p>
      <w:pPr>
        <w:pStyle w:val="Heading2"/>
      </w:pPr>
      <w:r>
        <w:t>Famílias no CadÚnico com crianças até 6 anos,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3027578"/>
                    </a:xfrm>
                    <a:prstGeom prst="rect"/>
                  </pic:spPr>
                </pic:pic>
              </a:graphicData>
            </a:graphic>
          </wp:inline>
        </w:drawing>
      </w:r>
    </w:p>
    <w:p>
      <w:bookmarkStart w:id="64"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 sint pede morbi ipsa curabitur voluptate at aenean dolore fugiat ut tempora nostrud fugit voluptatem eiusmod perferendis vitae aspernatur vel vivamus facere est suscipit et felis pretium culpa maiores beatae quam consequat pellentesque tincidunt vitae natus quam molestiae nostrud sed dapibus tenetur maiores enim ac tristique ullamco asperiores senectus sed.</w:t>
      </w:r>
      <w:bookmarkEnd w:id="64"/>
    </w:p>
    <w:p>
      <w:pPr>
        <w:pStyle w:val="Heading3"/>
      </w:pPr>
      <w:r>
        <w:t>Cadunico familias arranjo renda  ⬜</w:t>
      </w:r>
    </w:p>
    <w:p>
      <w:r>
        <w:drawing>
          <wp:inline xmlns:a="http://schemas.openxmlformats.org/drawingml/2006/main" xmlns:pic="http://schemas.openxmlformats.org/drawingml/2006/picture">
            <wp:extent cx="5029200" cy="2942082"/>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5"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 deserunt voluptatem nec reprehenderit dolore saepe adipisci aliquet eu sit.</w:t>
      </w:r>
      <w:bookmarkEnd w:id="65"/>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3530498"/>
                    </a:xfrm>
                    <a:prstGeom prst="rect"/>
                  </pic:spPr>
                </pic:pic>
              </a:graphicData>
            </a:graphic>
          </wp:inline>
        </w:drawing>
      </w:r>
    </w:p>
    <w:p>
      <w:bookmarkStart w:id="66"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 consectetur justo rem pariatur justo massa delectus cillum rerum enim euismod saepe natus porttitor incidunt tincidunt veniam non magnam porttitor quae at amet justo veritatis molestie eveniet ut habitant sapien deserunt dictum eaque fermentum vulputate posuere velit sunt egestas ab aliquam consectetuer pariatur.</w:t>
      </w:r>
      <w:bookmarkEnd w:id="66"/>
    </w:p>
    <w:p>
      <w:r>
        <w:rPr>
          <w:i/>
        </w:rPr>
        <w:t>Tabela de apoio: `cadunico_familias_por_arranjo_2026.csv`, `cadunico_familias_arranjo_renda_2026.csv`, `tabela_mapa_cadunico_recortes_bairro_2026.csv`</w:t>
      </w:r>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2"/>
      </w:pPr>
      <w:r>
        <w:t>Síntese do eixo — Inclusão  ⬜</w:t>
      </w:r>
    </w:p>
    <w:p>
      <w:bookmarkStart w:id="67" w:name="sintese_inclusao"/>
      <w:r>
        <w:t>Et ipsum commodo justo pellentesque vestibulum leo nostrum pariatur donec ac ratione lobortis sunt aliquet error proin cubilia praesent adipiscing a ea molestie est cillum modi ac maiores fringilla magnam sunt magni odit vitae adipisci lorem proin aliquet nullam at euismod felis ut massa ullamco dolor autem eleifend voluptatibus ullamco massa netus qui nullam venenatis pretium do quibusdam primis diam ex quam felis magna aspernatur irure magna curabitur accusantium commodo aspernatur dolor do nibh necessitatibus habitant elit occaecat eu ullamco repudiandae faucibus tenetur ante ac qui veritatis dolor fugiat earum dui repellat pellentesque sapien rerum veniam massa officia donec eget magna magna officia voluptates integer exercitationem cras lorem justo ullamco officiis vestibulum eu habitant dolor ligula officiis dolor et turpis condimentum incididunt vel iure praesent eiusmod tenetur eleifend dolore autem at at autem aliquip sed.</w:t>
      </w:r>
      <w:bookmarkEnd w:id="67"/>
    </w:p>
    <w:p>
      <w:pPr>
        <w:pStyle w:val="Heading1"/>
      </w:pPr>
      <w:r>
        <w:t>👨‍👩‍👧 Família e Cuidados</w:t>
      </w:r>
    </w:p>
    <w:p>
      <w:pPr>
        <w:pStyle w:val="Heading2"/>
      </w:pPr>
      <w:r>
        <w:t>Principais achados — Família e Cuidados  ⬜</w:t>
      </w:r>
    </w:p>
    <w:p>
      <w:r>
        <w:rPr>
          <w:i/>
        </w:rPr>
        <w:t>Uma frase por linha (Shift+Enter entre as frases).</w:t>
      </w:r>
    </w:p>
    <w:p>
      <w:bookmarkStart w:id="68" w:name="achados_familia_e_cuidados"/>
      <w:r>
        <w:t>Etiam eaque sit natus enim tristique ex minim libero qui repellat donec.</w:t>
        <w:br/>
        <w:t>Consequat praesent explicabo voluptatibus beatae quis duis perspiciatis imperdiet fames mollis in.</w:t>
        <w:br/>
        <w:t>A donec cupidatat ac illum saepe earum vitae autem ullamcorper fugit a.</w:t>
        <w:br/>
        <w:t>Metus eveniet senectus nisi veniam proident molestie aspernatur justo lacus dolor eum.</w:t>
        <w:br/>
        <w:t>Deserunt donec nunc ut curabitur magnam facere veritatis quis fringilla debitis totam.</w:t>
      </w:r>
      <w:bookmarkEnd w:id="68"/>
    </w:p>
    <w:p>
      <w:pPr>
        <w:pStyle w:val="Heading2"/>
      </w:pPr>
      <w:r>
        <w:t>Crianças até 6 anos no Cadastro Único (número)  ◐</w:t>
      </w:r>
    </w:p>
    <w:p>
      <w:pPr>
        <w:pStyle w:val="Heading3"/>
      </w:pPr>
      <w:r>
        <w:t>Cadunico criancas por idade  ✅</w:t>
      </w:r>
    </w:p>
    <w:p>
      <w:r>
        <w:drawing>
          <wp:inline xmlns:a="http://schemas.openxmlformats.org/drawingml/2006/main" xmlns:pic="http://schemas.openxmlformats.org/drawingml/2006/picture">
            <wp:extent cx="5029200" cy="3022549"/>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3022549"/>
                    </a:xfrm>
                    <a:prstGeom prst="rect"/>
                  </pic:spPr>
                </pic:pic>
              </a:graphicData>
            </a:graphic>
          </wp:inline>
        </w:drawing>
      </w:r>
    </w:p>
    <w:p>
      <w:bookmarkStart w:id="69"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69"/>
    </w:p>
    <w:p>
      <w:pPr>
        <w:pStyle w:val="Heading3"/>
      </w:pPr>
      <w:r>
        <w:t>Mapa cadunico criancas bairro 2026  ⬜</w:t>
      </w:r>
    </w:p>
    <w:p>
      <w:r>
        <w:drawing>
          <wp:inline xmlns:a="http://schemas.openxmlformats.org/drawingml/2006/main" xmlns:pic="http://schemas.openxmlformats.org/drawingml/2006/picture">
            <wp:extent cx="5029200" cy="3465119"/>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3465119"/>
                    </a:xfrm>
                    <a:prstGeom prst="rect"/>
                  </pic:spPr>
                </pic:pic>
              </a:graphicData>
            </a:graphic>
          </wp:inline>
        </w:drawing>
      </w:r>
    </w:p>
    <w:p>
      <w:bookmarkStart w:id="70"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70"/>
    </w:p>
    <w:p>
      <w:pPr>
        <w:pStyle w:val="Heading3"/>
      </w:pPr>
      <w:r>
        <w:t>Mapa cadunico criancas 0 a 4 bairro 2026  ✏️</w:t>
      </w:r>
    </w:p>
    <w:p>
      <w:r>
        <w:drawing>
          <wp:inline xmlns:a="http://schemas.openxmlformats.org/drawingml/2006/main" xmlns:pic="http://schemas.openxmlformats.org/drawingml/2006/picture">
            <wp:extent cx="5029200" cy="3465119"/>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3465119"/>
                    </a:xfrm>
                    <a:prstGeom prst="rect"/>
                  </pic:spPr>
                </pic:pic>
              </a:graphicData>
            </a:graphic>
          </wp:inline>
        </w:drawing>
      </w:r>
    </w:p>
    <w:p>
      <w:bookmarkStart w:id="71" w:name="mapa_cadunico_criancas_0_a_4_bairro_2026"/>
      <w:r>
        <w:t>Olhando para a distribuição espacial, pode-se observar que a maior concentração tanto de crianças de 0 a 5 quanto de 0 a 4 anos no CadÚnico está presente nas Zonas Oeste e Norte da cidade. Há alterações absolutas nos intervalos de distribuição quando se olha para os dois mapas, mas o padrão de distribuição geográfica segue praticamente o mesmo. Nos dois mapas,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71"/>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6 anos no Cadastro Único (número)  ✏️</w:t>
      </w:r>
    </w:p>
    <w:p>
      <w:pPr>
        <w:pStyle w:val="Heading3"/>
      </w:pPr>
      <w:r>
        <w:t>Cadunico familias por idade  ✏️</w:t>
      </w:r>
    </w:p>
    <w:p>
      <w:r>
        <w:drawing>
          <wp:inline xmlns:a="http://schemas.openxmlformats.org/drawingml/2006/main" xmlns:pic="http://schemas.openxmlformats.org/drawingml/2006/picture">
            <wp:extent cx="5029200" cy="3027578"/>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7578"/>
                    </a:xfrm>
                    <a:prstGeom prst="rect"/>
                  </pic:spPr>
                </pic:pic>
              </a:graphicData>
            </a:graphic>
          </wp:inline>
        </w:drawing>
      </w:r>
    </w:p>
    <w:p>
      <w:bookmarkStart w:id="72" w:name="cadunico_familias_por_idade"/>
      <w:r>
        <w:t>No recorte por família com crianças de 0 a 5 anos no CadÚnico, à medida que se avança a idade, aumenta-se a quantidade de família com criança naquela idade que está cadastrada no CadÚnico. Seguindo, notoriamente, o mesmo padrão do gráfico das crianças cadastradas no CadÚnico.</w:t>
      </w:r>
      <w:bookmarkEnd w:id="72"/>
    </w:p>
    <w:p>
      <w:r>
        <w:rPr>
          <w:i/>
        </w:rPr>
        <w:t>Tabela de apoio: `cadunico_por_idade_2026.csv`, `cadunico_por_bairro_2026.csv`</w:t>
      </w:r>
    </w:p>
    <w:p>
      <w:pPr>
        <w:pStyle w:val="Heading2"/>
      </w:pPr>
      <w:r>
        <w:t>Famílias com crianças até 6 anos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027578"/>
                    </a:xfrm>
                    <a:prstGeom prst="rect"/>
                  </pic:spPr>
                </pic:pic>
              </a:graphicData>
            </a:graphic>
          </wp:inline>
        </w:drawing>
      </w:r>
    </w:p>
    <w:p>
      <w:bookmarkStart w:id="73" w:name="cadunico_familias_por_faixa_renda"/>
      <w:r>
        <w:t>A partir do dado de famílias com crianças de 0 a 5 anos no CadÚnico é possível observar uma distribuição altamente assimétrica, tendo um predomínio absoluto de famílias com renda até R$218, um dos critérios de extrema pobreza, isso evidencia que nesse recorte há uma atuação do CadÚnico predominantemente sobre a parcela populacional em situação de extrema vulnerabilidade. No que diz respeito às rendas mais altas a tendência é diminuindo conforme aumenta-se a renda, chegando a patamares estatisticamente irrelevantes.</w:t>
      </w:r>
      <w:bookmarkEnd w:id="73"/>
    </w:p>
    <w:p>
      <w:pPr>
        <w:pStyle w:val="Heading3"/>
      </w:pPr>
      <w:r>
        <w:t>Cadunico criancas por faixa renda  ⬜</w:t>
      </w:r>
    </w:p>
    <w:p>
      <w:r>
        <w:drawing>
          <wp:inline xmlns:a="http://schemas.openxmlformats.org/drawingml/2006/main" xmlns:pic="http://schemas.openxmlformats.org/drawingml/2006/picture">
            <wp:extent cx="5029200" cy="3022549"/>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022549"/>
                    </a:xfrm>
                    <a:prstGeom prst="rect"/>
                  </pic:spPr>
                </pic:pic>
              </a:graphicData>
            </a:graphic>
          </wp:inline>
        </w:drawing>
      </w:r>
    </w:p>
    <w:p>
      <w:bookmarkStart w:id="74"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74"/>
    </w:p>
    <w:p>
      <w:r>
        <w:rPr>
          <w:i/>
        </w:rPr>
        <w:t>Tabela de apoio: `cadunico_por_faixa_renda_2026.csv`</w:t>
      </w:r>
    </w:p>
    <w:p>
      <w:pPr>
        <w:pStyle w:val="Heading2"/>
      </w:pPr>
      <w:r>
        <w:t>Taxa bruta de frequência escolar da população até 6 anos  ✅</w:t>
      </w:r>
    </w:p>
    <w:p>
      <w:pPr>
        <w:pStyle w:val="Heading3"/>
      </w:pPr>
      <w:r>
        <w:t>Pnad frequencia escolar por idade  ✅</w:t>
      </w:r>
    </w:p>
    <w:p>
      <w:r>
        <w:drawing>
          <wp:inline xmlns:a="http://schemas.openxmlformats.org/drawingml/2006/main" xmlns:pic="http://schemas.openxmlformats.org/drawingml/2006/picture">
            <wp:extent cx="5029200" cy="3022549"/>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2549"/>
                    </a:xfrm>
                    <a:prstGeom prst="rect"/>
                  </pic:spPr>
                </pic:pic>
              </a:graphicData>
            </a:graphic>
          </wp:inline>
        </w:drawing>
      </w:r>
    </w:p>
    <w:p>
      <w:bookmarkStart w:id="75" w:name="pnad_frequencia_escolar_por_idade"/>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75"/>
    </w:p>
    <w:p>
      <w:r>
        <w:rPr>
          <w:i/>
        </w:rPr>
        <w:t>Tabela de apoio: `frequencia_escolar_pnad_por_idade.csv`</w:t>
      </w:r>
    </w:p>
    <w:p>
      <w:pPr>
        <w:pStyle w:val="Heading2"/>
      </w:pPr>
      <w:r>
        <w:t>Cobertura vacinal de rotina em crianças até 2 anos  ⬜</w:t>
      </w:r>
    </w:p>
    <w:p>
      <w:bookmarkStart w:id="76" w:name="FamliaeCuidadosCoberturavacinald_70d1304a"/>
      <w:r>
        <w:t>Dolor curabitur deserunt ut autem a voluptates laborum praesent enim nonummy voluptatibus ipsam do donec faucibus consequatur fringilla inventore repudiandae minim magni mauris quam occaecat proin sed repudiandae ullamco vestibulum perferendis sagittis ipsa posuere suscipit pede proident egestas commodo nullam perspiciatis nec eiusmod veniam fugit vitae rhoncus consequat voluptas repellendus donec repellat consequatur diam venenatis pretium ipsum omnis consequuntur fames at eleifend repellendus porttitor commodi omnis lorem ipsam aenean pariatur posuere vitae potenti sit mus malesuada ea ac vitae vel augue alias dolores nisi consequatur molestie lectus quasi cras mollit dicta faucibus lobortis semper maiores tincidunt ipsum aliquip reiciendis sagittis esse hic aute aliquid consectetuer consequuntur amet.</w:t>
      </w:r>
      <w:bookmarkEnd w:id="76"/>
    </w:p>
    <w:p>
      <w:pPr>
        <w:pStyle w:val="Heading2"/>
      </w:pPr>
      <w:r>
        <w:t>Crianças até 6 anos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27578"/>
                    </a:xfrm>
                    <a:prstGeom prst="rect"/>
                  </pic:spPr>
                </pic:pic>
              </a:graphicData>
            </a:graphic>
          </wp:inline>
        </w:drawing>
      </w:r>
    </w:p>
    <w:p>
      <w:bookmarkStart w:id="77"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 magnam corporis etiam sapien quia voluptate saepe.</w:t>
      </w:r>
      <w:bookmarkEnd w:id="77"/>
    </w:p>
    <w:p>
      <w:r>
        <w:rPr>
          <w:i/>
        </w:rPr>
        <w:t>Tabela de apoio: `sidra_frequencia_escola_0_5_total_2022.csv`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2519629"/>
                    </a:xfrm>
                    <a:prstGeom prst="rect"/>
                  </pic:spPr>
                </pic:pic>
              </a:graphicData>
            </a:graphic>
          </wp:inline>
        </w:drawing>
      </w:r>
    </w:p>
    <w:p>
      <w:bookmarkStart w:id="78"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 vitae fringilla quasi quis exercitationem repellendus quaerat feugiat voluptatibus sed reiciendis porta sequi faucibus eu recusandae pede felis augue pharetra pretium incidunt.</w:t>
      </w:r>
      <w:bookmarkEnd w:id="78"/>
    </w:p>
    <w:p>
      <w:pPr>
        <w:pStyle w:val="Heading3"/>
      </w:pPr>
      <w:r>
        <w:t>Matriculas 0 a 5 creche pre por ano  ⬜</w:t>
      </w:r>
    </w:p>
    <w:p>
      <w:r>
        <w:drawing>
          <wp:inline xmlns:a="http://schemas.openxmlformats.org/drawingml/2006/main" xmlns:pic="http://schemas.openxmlformats.org/drawingml/2006/picture">
            <wp:extent cx="5029200" cy="252465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2524658"/>
                    </a:xfrm>
                    <a:prstGeom prst="rect"/>
                  </pic:spPr>
                </pic:pic>
              </a:graphicData>
            </a:graphic>
          </wp:inline>
        </w:drawing>
      </w:r>
    </w:p>
    <w:p>
      <w:bookmarkStart w:id="79"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 nihil nisi molestie totam.</w:t>
      </w:r>
      <w:bookmarkEnd w:id="79"/>
    </w:p>
    <w:p>
      <w:pPr>
        <w:pStyle w:val="Heading3"/>
      </w:pPr>
      <w:r>
        <w:t>Matriculas 0 a 5 rede por ano  ⬜</w:t>
      </w:r>
    </w:p>
    <w:p>
      <w:r>
        <w:drawing>
          <wp:inline xmlns:a="http://schemas.openxmlformats.org/drawingml/2006/main" xmlns:pic="http://schemas.openxmlformats.org/drawingml/2006/picture">
            <wp:extent cx="5029200" cy="2524658"/>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2524658"/>
                    </a:xfrm>
                    <a:prstGeom prst="rect"/>
                  </pic:spPr>
                </pic:pic>
              </a:graphicData>
            </a:graphic>
          </wp:inline>
        </w:drawing>
      </w:r>
    </w:p>
    <w:p>
      <w:bookmarkStart w:id="80"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 felis anim eius diam excepteur nostrud veniam lobortis minima accusantium quam aspernatur lacus eius vel minima integer donec amet et pariatur eius cubilia eiusmod sed irure viverra.</w:t>
      </w:r>
      <w:bookmarkEnd w:id="80"/>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524658"/>
                    </a:xfrm>
                    <a:prstGeom prst="rect"/>
                  </pic:spPr>
                </pic:pic>
              </a:graphicData>
            </a:graphic>
          </wp:inline>
        </w:drawing>
      </w:r>
    </w:p>
    <w:p>
      <w:bookmarkStart w:id="81"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 saepe turpis inventore tempora ullam quibusdam fugiat possimus natus velit massa vivamus quisquam lacus voluptates ullamco vitae imperdiet leo eius etiam nec est tempor veritatis.</w:t>
      </w:r>
      <w:bookmarkEnd w:id="81"/>
    </w:p>
    <w:p>
      <w:r>
        <w:rPr>
          <w:i/>
        </w:rPr>
        <w:t>Tabela de apoio: `matriculas_0_a_5_por_ano.csv`</w:t>
      </w:r>
    </w:p>
    <w:p>
      <w:pPr>
        <w:pStyle w:val="Heading2"/>
      </w:pPr>
      <w:r>
        <w:t>Síntese do eixo — Família e Cuidados  ⬜</w:t>
      </w:r>
    </w:p>
    <w:p>
      <w:bookmarkStart w:id="82" w:name="sintese_familia_e_cuidados"/>
      <w:r>
        <w:t>Enim quae in quibusdam viverra ligula vitae veritatis pellentesque luctus senectus fermentum quasi voluptate sed recusandae totam vitae fringilla laboriosam integer scelerisque officiis fugiat officia eiusmod consequat porta voluptas consectetuer magni ut occaecat ea doloribus deserunt ipsam arcu consequat earum vulputate eiusmod laboris quae ipsam vitae voluptatibus dolor sapien qui nostrud lorem fringilla lorem recusandae aliquam nisi totam rerum elit cupidatat repellendus lectus ipsum egestas esse posuere suspendisse inventore fringilla curabitur ante cubilia rem vel vulputate nulla dolore morbi vel reiciendis doloremque ac arcu tempora error metus maiores donec numquam dignissim dapibus ex senectus ut minima mauris nibh aut potenti vitae quae iure in consectetur nostrud repudiandae a pharetra justo qui dictum fermentum aliquip aute egestas cupidatat necessitatibus beatae beatae fermentum ac justo quisquam eleifend dignissim quam quisquam sequi exercitationem tincidunt consequuntur pede aenean repellendus sagittis irure quia tristique earum imperdiet lacus vitae sed ipsum aut pretium temporibus ac beatae tristique fames at dolor ex ratione lacus fermentum pharetra fermentum voluptate malesuada dolor dolor pede et vulputate ratione magna ut reprehenderit dui lorem dictum proident pretium quis tempora aenean turpis tristique a ullamcorper massa libero quasi posuere ut magni quam lacus aliquet ut in incididunt vitae dolores.</w:t>
      </w:r>
      <w:bookmarkEnd w:id="82"/>
    </w:p>
    <w:p>
      <w:pPr>
        <w:pStyle w:val="Heading1"/>
      </w:pPr>
      <w:r>
        <w:t>🛡️ Proteção</w:t>
      </w:r>
    </w:p>
    <w:p>
      <w:pPr>
        <w:pStyle w:val="Heading2"/>
      </w:pPr>
      <w:r>
        <w:t>Principais achados — Proteção  ⬜</w:t>
      </w:r>
    </w:p>
    <w:p>
      <w:r>
        <w:rPr>
          <w:i/>
        </w:rPr>
        <w:t>Uma frase por linha (Shift+Enter entre as frases).</w:t>
      </w:r>
    </w:p>
    <w:p>
      <w:bookmarkStart w:id="83" w:name="achados_protecao"/>
      <w:r>
        <w:t>Aut ligula reprehenderit commodi ac molestie incidunt voluptate voluptas sed tincidunt porta.</w:t>
        <w:br/>
        <w:t>Senectus iste curabitur in quam lobortis in reprehenderit ea irure voluptas aliquam.</w:t>
        <w:br/>
        <w:t>Enim illum ea justo turpis rhoncus vulputate dolor commodi nullam dolor velit.</w:t>
        <w:br/>
        <w:t>Adipiscing curabitur lacus consequat ipsa esse pede lorem nesciunt nibh minim proin.</w:t>
        <w:br/>
        <w:t>Incididunt reprehenderit curabitur tellus aliquet quam fames autem ut illum dolor sapiente.</w:t>
      </w:r>
      <w:bookmarkEnd w:id="83"/>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439973"/>
                    </a:xfrm>
                    <a:prstGeom prst="rect"/>
                  </pic:spPr>
                </pic:pic>
              </a:graphicData>
            </a:graphic>
          </wp:inline>
        </w:drawing>
      </w:r>
    </w:p>
    <w:p>
      <w:bookmarkStart w:id="84"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84"/>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39973"/>
                    </a:xfrm>
                    <a:prstGeom prst="rect"/>
                  </pic:spPr>
                </pic:pic>
              </a:graphicData>
            </a:graphic>
          </wp:inline>
        </w:drawing>
      </w:r>
    </w:p>
    <w:p>
      <w:bookmarkStart w:id="85"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85"/>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39973"/>
                    </a:xfrm>
                    <a:prstGeom prst="rect"/>
                  </pic:spPr>
                </pic:pic>
              </a:graphicData>
            </a:graphic>
          </wp:inline>
        </w:drawing>
      </w:r>
    </w:p>
    <w:p>
      <w:bookmarkStart w:id="86"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86"/>
    </w:p>
    <w:p>
      <w:r>
        <w:rPr>
          <w:i/>
        </w:rPr>
        <w:t>Tabela de apoio: `tabela_mapa_violencia_territorial_ra_2024.csv`</w:t>
      </w:r>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2519629"/>
                    </a:xfrm>
                    <a:prstGeom prst="rect"/>
                  </pic:spPr>
                </pic:pic>
              </a:graphicData>
            </a:graphic>
          </wp:inline>
        </w:drawing>
      </w:r>
    </w:p>
    <w:p>
      <w:bookmarkStart w:id="87"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87"/>
    </w:p>
    <w:p>
      <w:pPr>
        <w:pStyle w:val="Heading3"/>
      </w:pPr>
      <w:r>
        <w:t>Mapa violencia familiar mae bairro 2025  ⬜</w:t>
      </w:r>
    </w:p>
    <w:p>
      <w:r>
        <w:drawing>
          <wp:inline xmlns:a="http://schemas.openxmlformats.org/drawingml/2006/main" xmlns:pic="http://schemas.openxmlformats.org/drawingml/2006/picture">
            <wp:extent cx="5029200" cy="3439973"/>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439973"/>
                    </a:xfrm>
                    <a:prstGeom prst="rect"/>
                  </pic:spPr>
                </pic:pic>
              </a:graphicData>
            </a:graphic>
          </wp:inline>
        </w:drawing>
      </w:r>
    </w:p>
    <w:p>
      <w:bookmarkStart w:id="88"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88"/>
    </w:p>
    <w:p>
      <w:pPr>
        <w:pStyle w:val="Heading3"/>
      </w:pPr>
      <w:r>
        <w:t>Mapa violencia familiar pai bairro 2025  ⬜</w:t>
      </w:r>
    </w:p>
    <w:p>
      <w:r>
        <w:drawing>
          <wp:inline xmlns:a="http://schemas.openxmlformats.org/drawingml/2006/main" xmlns:pic="http://schemas.openxmlformats.org/drawingml/2006/picture">
            <wp:extent cx="5029200" cy="3439973"/>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439973"/>
                    </a:xfrm>
                    <a:prstGeom prst="rect"/>
                  </pic:spPr>
                </pic:pic>
              </a:graphicData>
            </a:graphic>
          </wp:inline>
        </w:drawing>
      </w:r>
    </w:p>
    <w:p>
      <w:bookmarkStart w:id="89"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89"/>
    </w:p>
    <w:p>
      <w:pPr>
        <w:pStyle w:val="Heading3"/>
      </w:pPr>
      <w:r>
        <w:t>Mapa violencia familiar outros bairro 2021 2025  ⬜</w:t>
      </w:r>
    </w:p>
    <w:p>
      <w:r>
        <w:drawing>
          <wp:inline xmlns:a="http://schemas.openxmlformats.org/drawingml/2006/main" xmlns:pic="http://schemas.openxmlformats.org/drawingml/2006/picture">
            <wp:extent cx="5029200" cy="3445002"/>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445002"/>
                    </a:xfrm>
                    <a:prstGeom prst="rect"/>
                  </pic:spPr>
                </pic:pic>
              </a:graphicData>
            </a:graphic>
          </wp:inline>
        </w:drawing>
      </w:r>
    </w:p>
    <w:p>
      <w:bookmarkStart w:id="90"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90"/>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519629"/>
                    </a:xfrm>
                    <a:prstGeom prst="rect"/>
                  </pic:spPr>
                </pic:pic>
              </a:graphicData>
            </a:graphic>
          </wp:inline>
        </w:drawing>
      </w:r>
    </w:p>
    <w:p>
      <w:bookmarkStart w:id="91"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91"/>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2937053"/>
                    </a:xfrm>
                    <a:prstGeom prst="rect"/>
                  </pic:spPr>
                </pic:pic>
              </a:graphicData>
            </a:graphic>
          </wp:inline>
        </w:drawing>
      </w:r>
    </w:p>
    <w:p>
      <w:bookmarkStart w:id="92"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92"/>
    </w:p>
    <w:p>
      <w:r>
        <w:rPr>
          <w:i/>
        </w:rPr>
        <w:t>Tabela de apoio: `violencia_familiar_top_bairros_2025.csv`</w:t>
      </w:r>
    </w:p>
    <w:p>
      <w:pPr>
        <w:pStyle w:val="Heading2"/>
      </w:pPr>
      <w:r>
        <w:t>Violência familiar — por CAP  ⬜</w:t>
      </w:r>
    </w:p>
    <w:p>
      <w:bookmarkStart w:id="93"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93"/>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027578"/>
                    </a:xfrm>
                    <a:prstGeom prst="rect"/>
                  </pic:spPr>
                </pic:pic>
              </a:graphicData>
            </a:graphic>
          </wp:inline>
        </w:drawing>
      </w:r>
    </w:p>
    <w:p>
      <w:bookmarkStart w:id="94"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94"/>
    </w:p>
    <w:p>
      <w:pPr>
        <w:pStyle w:val="Heading3"/>
      </w:pPr>
      <w:r>
        <w:t>Mapa notif autoprovocada bairro 2026  ⬜</w:t>
      </w:r>
    </w:p>
    <w:p>
      <w:r>
        <w:drawing>
          <wp:inline xmlns:a="http://schemas.openxmlformats.org/drawingml/2006/main" xmlns:pic="http://schemas.openxmlformats.org/drawingml/2006/picture">
            <wp:extent cx="5029200" cy="3439973"/>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39973"/>
                    </a:xfrm>
                    <a:prstGeom prst="rect"/>
                  </pic:spPr>
                </pic:pic>
              </a:graphicData>
            </a:graphic>
          </wp:inline>
        </w:drawing>
      </w:r>
    </w:p>
    <w:p>
      <w:bookmarkStart w:id="95"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95"/>
    </w:p>
    <w:p>
      <w:r>
        <w:rPr>
          <w:i/>
        </w:rPr>
        <w:t>Tabela de apoio: `notif_autoprovocada_por_bairro_ano.csv`, `tabela_mapa_notif_autoprovocada_2026.csv`</w:t>
      </w:r>
    </w:p>
    <w:p>
      <w:pPr>
        <w:pStyle w:val="Heading2"/>
      </w:pPr>
      <w:r>
        <w:t>Taxa de notificações de violência familiar (0 a 5 anos)  ⬜</w:t>
      </w:r>
    </w:p>
    <w:p>
      <w:pPr>
        <w:pStyle w:val="Heading3"/>
      </w:pPr>
      <w:r>
        <w:t>Violencia familiar taxa municipio ano  ⬜</w:t>
      </w:r>
    </w:p>
    <w:p>
      <w:r>
        <w:drawing>
          <wp:inline xmlns:a="http://schemas.openxmlformats.org/drawingml/2006/main" xmlns:pic="http://schemas.openxmlformats.org/drawingml/2006/picture">
            <wp:extent cx="5029200" cy="2519629"/>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96"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 nibh nonummy ad occaecat ipsum et nunc nunc unde perferendis dolore dolor ex aut minim tincidunt vitae quisquam nihil ut donec ipsum dicta in vitae eu.</w:t>
      </w:r>
      <w:bookmarkEnd w:id="96"/>
    </w:p>
    <w:p>
      <w:pPr>
        <w:pStyle w:val="Heading3"/>
      </w:pPr>
      <w:r>
        <w:t>Violencia familiar taxa top bairros 2025  ⬜</w:t>
      </w:r>
    </w:p>
    <w:p>
      <w:r>
        <w:drawing>
          <wp:inline xmlns:a="http://schemas.openxmlformats.org/drawingml/2006/main" xmlns:pic="http://schemas.openxmlformats.org/drawingml/2006/picture">
            <wp:extent cx="5029200" cy="2942082"/>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942082"/>
                    </a:xfrm>
                    <a:prstGeom prst="rect"/>
                  </pic:spPr>
                </pic:pic>
              </a:graphicData>
            </a:graphic>
          </wp:inline>
        </w:drawing>
      </w:r>
    </w:p>
    <w:p>
      <w:bookmarkStart w:id="97"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97"/>
    </w:p>
    <w:p>
      <w:pPr>
        <w:pStyle w:val="Heading3"/>
      </w:pPr>
      <w:r>
        <w:t>Mapa violencia familiar mae taxa ra 2025  ⬜</w:t>
      </w:r>
    </w:p>
    <w:p>
      <w:r>
        <w:drawing>
          <wp:inline xmlns:a="http://schemas.openxmlformats.org/drawingml/2006/main" xmlns:pic="http://schemas.openxmlformats.org/drawingml/2006/picture">
            <wp:extent cx="5029200" cy="3445002"/>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45002"/>
                    </a:xfrm>
                    <a:prstGeom prst="rect"/>
                  </pic:spPr>
                </pic:pic>
              </a:graphicData>
            </a:graphic>
          </wp:inline>
        </w:drawing>
      </w:r>
    </w:p>
    <w:p>
      <w:bookmarkStart w:id="98"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98"/>
    </w:p>
    <w:p>
      <w:pPr>
        <w:pStyle w:val="Heading3"/>
      </w:pPr>
      <w:r>
        <w:t>Mapa violencia familiar pai taxa ra 2025  ⬜</w:t>
      </w:r>
    </w:p>
    <w:p>
      <w:r>
        <w:drawing>
          <wp:inline xmlns:a="http://schemas.openxmlformats.org/drawingml/2006/main" xmlns:pic="http://schemas.openxmlformats.org/drawingml/2006/picture">
            <wp:extent cx="5029200" cy="3445002"/>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45002"/>
                    </a:xfrm>
                    <a:prstGeom prst="rect"/>
                  </pic:spPr>
                </pic:pic>
              </a:graphicData>
            </a:graphic>
          </wp:inline>
        </w:drawing>
      </w:r>
    </w:p>
    <w:p>
      <w:bookmarkStart w:id="99"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99"/>
    </w:p>
    <w:p>
      <w:pPr>
        <w:pStyle w:val="Heading3"/>
      </w:pPr>
      <w:r>
        <w:t>Mapa violencia familiar outros taxa ra 2021 2025  ⬜</w:t>
      </w:r>
    </w:p>
    <w:p>
      <w:r>
        <w:drawing>
          <wp:inline xmlns:a="http://schemas.openxmlformats.org/drawingml/2006/main" xmlns:pic="http://schemas.openxmlformats.org/drawingml/2006/picture">
            <wp:extent cx="5029200" cy="3198571"/>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198571"/>
                    </a:xfrm>
                    <a:prstGeom prst="rect"/>
                  </pic:spPr>
                </pic:pic>
              </a:graphicData>
            </a:graphic>
          </wp:inline>
        </w:drawing>
      </w:r>
    </w:p>
    <w:p>
      <w:bookmarkStart w:id="100"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100"/>
    </w:p>
    <w:p>
      <w:r>
        <w:rPr>
          <w:i/>
        </w:rPr>
        <w:t>Tabela de apoio: `violencia_familiar_taxa_municipio_ano.csv`, `violencia_familiar_taxa_por_bairro.csv`, `violencia_familiar_taxa_top_bairros_2025.csv`</w:t>
      </w:r>
    </w:p>
    <w:p>
      <w:pPr>
        <w:pStyle w:val="Heading2"/>
      </w:pPr>
      <w:r>
        <w:t>Crianças que sofrem violência, por tipificação (sexo e idade)  🚧</w:t>
      </w:r>
    </w:p>
    <w:p>
      <w:pPr>
        <w:pStyle w:val="IntenseQuote"/>
      </w:pPr>
      <w:r>
        <w:t>[PENDENTE] dado ainda não extraído do Tabnet</w:t>
      </w:r>
    </w:p>
    <w:p>
      <w:pPr>
        <w:pStyle w:val="Heading2"/>
      </w:pPr>
      <w:r>
        <w:t>Síntese do eixo — Proteção  ⬜</w:t>
      </w:r>
    </w:p>
    <w:p>
      <w:bookmarkStart w:id="101" w:name="sintese_protecao"/>
      <w:r>
        <w:t>Odit dictum pretium numquam tempor porttitor error autem ullamcorper senectus aute minim iste senectus porttitor ad omnis ex justo eleifend arcu non sed arcu ex eu donec tenetur facere mollis magni felis saepe vitae sequi amet augue proident enim voluptas arcu nec massa quae aenean aliquet aliquam habitant aute hic dignissim sapien pede necessitatibus tellus euismod sit error ullamcorper vitae pede cillum vitae qui est eius facere fames delectus libero condimentum consequat lacus sint quam quibusdam qui enim nesciunt molestie nostrum iste pede dolor nihil laboris et feugiat eleifend quia ratione exercitation fringilla modi eget beatae consequat lectus habitant beatae error odit odit error nulla consequuntur iure aenean fugiat nullam ligula cras primis potenti omnis incidunt et ullamcorper pede sed consectetur adipisci tincidunt fugit ea.</w:t>
      </w:r>
      <w:bookmarkEnd w:id="101"/>
    </w:p>
    <w:p>
      <w:pPr>
        <w:pStyle w:val="Heading1"/>
      </w:pPr>
      <w:r>
        <w:t>🍽️ Alimentação</w:t>
      </w:r>
    </w:p>
    <w:p>
      <w:pPr>
        <w:pStyle w:val="Heading2"/>
      </w:pPr>
      <w:r>
        <w:t>Principais achados — Alimentação  ⬜</w:t>
      </w:r>
    </w:p>
    <w:p>
      <w:r>
        <w:rPr>
          <w:i/>
        </w:rPr>
        <w:t>Uma frase por linha (Shift+Enter entre as frases).</w:t>
      </w:r>
    </w:p>
    <w:p>
      <w:bookmarkStart w:id="102" w:name="achados_alimentacao"/>
      <w:r>
        <w:t>Fringilla esse dictum suspendisse qui senectus arcu omnis nesciunt diam tincidunt nisi.</w:t>
        <w:br/>
        <w:t>Enim eaque rhoncus eu primis illum aliquip nec iure eveniet aliquid quibusdam.</w:t>
        <w:br/>
        <w:t>Curabitur tristique voluptatibus quam magna corporis quis rerum viverra elit enim officiis.</w:t>
        <w:br/>
        <w:t>Et dolor dolorem et aliqua quia fringilla lacus earum senectus praesent fugit.</w:t>
        <w:br/>
        <w:t>Doloribus voluptate lorem arcu inventore excepteur vel eiusmod eaque elit asperiores delectus.</w:t>
      </w:r>
      <w:bookmarkEnd w:id="102"/>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103" w:name="mapa_nascidos_baixo_peso_bairro_2025"/>
      <w:r>
        <w:t>A distribuição espacial dos nascidos com baixo peso em 2025 mostra maior concentração em bairros das Zona Oeste e Norte, com destaque para Campo Grande, Santa Cruz, Bangu, Jacarepaguá e Guaratiba. Em contraste, grande parte dos bairros apresenta até 30 registros. Como o mapa utiliza números absolutos, os maiores valores não indicam necessariamente maior incidência, sendo importante compará-los ao total de nascimentos de cada bairro.</w:t>
      </w:r>
      <w:bookmarkEnd w:id="103"/>
    </w:p>
    <w:p>
      <w:r>
        <w:rPr>
          <w:i/>
        </w:rPr>
        <w:t>Tabela de apoio: `nascidos_abaixo_peso_por_ano.csv`</w:t>
      </w:r>
    </w:p>
    <w:p>
      <w:pPr>
        <w:pStyle w:val="Heading2"/>
      </w:pPr>
      <w:r>
        <w:t>Baixo peso ao nascer (percentual)  ✏️</w:t>
      </w:r>
    </w:p>
    <w:p>
      <w:pPr>
        <w:pStyle w:val="Heading3"/>
      </w:pPr>
      <w:r>
        <w:t>Nascidos abaixo peso percentual por ano  ✏️</w:t>
      </w:r>
    </w:p>
    <w:p>
      <w:r>
        <w:drawing>
          <wp:inline xmlns:a="http://schemas.openxmlformats.org/drawingml/2006/main" xmlns:pic="http://schemas.openxmlformats.org/drawingml/2006/picture">
            <wp:extent cx="5029200" cy="2524658"/>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2524658"/>
                    </a:xfrm>
                    <a:prstGeom prst="rect"/>
                  </pic:spPr>
                </pic:pic>
              </a:graphicData>
            </a:graphic>
          </wp:inline>
        </w:drawing>
      </w:r>
    </w:p>
    <w:p>
      <w:bookmarkStart w:id="104" w:name="nascidos_abaixo_peso_percentual_por_ano"/>
      <w:r>
        <w:t>Entre 2006 e 2025, o percentual de nascidos com baixo peso apresentou oscilações moderadas. Após permanecer próximo de 10% até 2010, o indicador caiu e atingiu seu menor valor em 2017, com 9,15%. A partir de 2018, observa-se uma tendência de crescimento, chegando ao pico de 10,63% em 2023. Nos anos seguintes houve pequena redução, com o percentual chegando a 10,26% em 2025.</w:t>
      </w:r>
      <w:bookmarkEnd w:id="104"/>
    </w:p>
    <w:p>
      <w:pPr>
        <w:pStyle w:val="Heading3"/>
      </w:pPr>
      <w:r>
        <w:t>Mapa percentual baixo peso bairro 2025  ✅</w:t>
      </w:r>
    </w:p>
    <w:p>
      <w:r>
        <w:drawing>
          <wp:inline xmlns:a="http://schemas.openxmlformats.org/drawingml/2006/main" xmlns:pic="http://schemas.openxmlformats.org/drawingml/2006/picture">
            <wp:extent cx="5029200" cy="3439973"/>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439973"/>
                    </a:xfrm>
                    <a:prstGeom prst="rect"/>
                  </pic:spPr>
                </pic:pic>
              </a:graphicData>
            </a:graphic>
          </wp:inline>
        </w:drawing>
      </w:r>
    </w:p>
    <w:p>
      <w:bookmarkStart w:id="105" w:name="mapa_percentual_baixo_peso_bairro_2025"/>
      <w:r>
        <w:t>Em 2025, a maior parte dos bairros do Rio de Janeiro apresentou percentuais de nascidos com baixo peso entre 7,4% e 29,4%. Alguns bairros apresentam percentuais mais elevados, chegando a valores acima de 20%. Diferentemente dos números absolutos, o mapa percentual permite comparar melhor os bairros, pois considera a quantidade de nascidos com baixo peso em relação ao total de nascimentos. Valores extremos devem ser analisados com cautela, especialmente em bairros com poucos nascimentos.</w:t>
      </w:r>
      <w:bookmarkEnd w:id="105"/>
    </w:p>
    <w:p>
      <w:r>
        <w:rPr>
          <w:i/>
        </w:rPr>
        <w:t>Tabela de apoio: `nascidos_abaixo_peso_por_ano.csv`</w:t>
      </w:r>
    </w:p>
    <w:p>
      <w:pPr>
        <w:pStyle w:val="Heading2"/>
      </w:pPr>
      <w:r>
        <w:t>Desnutrição SISVAN (número)  ⬜</w:t>
      </w:r>
    </w:p>
    <w:p>
      <w:bookmarkStart w:id="106"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106"/>
    </w:p>
    <w:p>
      <w:pPr>
        <w:pStyle w:val="Heading2"/>
      </w:pPr>
      <w:r>
        <w:t>Desnutrição SISVAN (percentual)  ✏️</w:t>
      </w:r>
    </w:p>
    <w:p>
      <w:pPr>
        <w:pStyle w:val="Heading3"/>
      </w:pPr>
      <w:r>
        <w:t>Sisvan desnutricao percentual por ano  ✏️</w:t>
      </w:r>
    </w:p>
    <w:p>
      <w:r>
        <w:drawing>
          <wp:inline xmlns:a="http://schemas.openxmlformats.org/drawingml/2006/main" xmlns:pic="http://schemas.openxmlformats.org/drawingml/2006/picture">
            <wp:extent cx="5029200" cy="2519629"/>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519629"/>
                    </a:xfrm>
                    <a:prstGeom prst="rect"/>
                  </pic:spPr>
                </pic:pic>
              </a:graphicData>
            </a:graphic>
          </wp:inline>
        </w:drawing>
      </w:r>
    </w:p>
    <w:p>
      <w:bookmarkStart w:id="107" w:name="sisvan_desnutricao_percentual_por_ano"/>
      <w:r>
        <w:t>Ao longo da série, o percentual de crianças com baixo peso para a idade (desnutrição) apresentou oscilações, permanecendo na maior parte dos anos entre 3% e 7%. O principal destaque ocorreu em 2018, quando o indicador atingiu 15,5%, valor muito acima dos outros anos. Após esse pico, o percentual retorna a níveis mais próximos do padrão da série, chegando a 7,5% em 2025. O valor de 2018 se destaca como um ponto fora do comportamento geral e merece atenção ao ser analisado.</w:t>
      </w:r>
      <w:bookmarkEnd w:id="107"/>
    </w:p>
    <w:p>
      <w:r>
        <w:rPr>
          <w:i/>
        </w:rPr>
        <w:t>Tabela de apoio: `sisvan_desnutricao_por_ano.csv`</w:t>
      </w:r>
    </w:p>
    <w:p>
      <w:pPr>
        <w:pStyle w:val="Heading2"/>
      </w:pPr>
      <w:r>
        <w:t>Sobrepeso SISVAN (número)  ⬜</w:t>
      </w:r>
    </w:p>
    <w:p>
      <w:bookmarkStart w:id="108"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08"/>
    </w:p>
    <w:p>
      <w:pPr>
        <w:pStyle w:val="Heading2"/>
      </w:pPr>
      <w:r>
        <w:t>Sobrepeso SISVAN (percentual)  ✏️</w:t>
      </w:r>
    </w:p>
    <w:p>
      <w:pPr>
        <w:pStyle w:val="Heading3"/>
      </w:pPr>
      <w:r>
        <w:t>Sisvan sobrepeso percentual por ano  ✅</w:t>
      </w:r>
    </w:p>
    <w:p>
      <w:r>
        <w:drawing>
          <wp:inline xmlns:a="http://schemas.openxmlformats.org/drawingml/2006/main" xmlns:pic="http://schemas.openxmlformats.org/drawingml/2006/picture">
            <wp:extent cx="5029200" cy="2519629"/>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9629"/>
                    </a:xfrm>
                    <a:prstGeom prst="rect"/>
                  </pic:spPr>
                </pic:pic>
              </a:graphicData>
            </a:graphic>
          </wp:inline>
        </w:drawing>
      </w:r>
    </w:p>
    <w:p>
      <w:bookmarkStart w:id="109" w:name="sisvan_sobrepeso_percentual_por_ano"/>
      <w:r>
        <w:t>O percentual de crianças com sobrepeso apresentou oscilações ao longo da série. O indicador cresce até atingir seu maior valor em 2013, com 21,48%, e depois passa a apresentar redução, chegando a 12,30% em 2021. A partir de 2022, observa-se nova elevação, alcançando 16,89% em 2025.</w:t>
      </w:r>
      <w:bookmarkEnd w:id="109"/>
    </w:p>
    <w:p>
      <w:pPr>
        <w:pStyle w:val="Heading3"/>
      </w:pPr>
      <w:r>
        <w:t>Sisvan obesidade percentual por ano  ✏️</w:t>
      </w:r>
    </w:p>
    <w:p>
      <w:r>
        <w:drawing>
          <wp:inline xmlns:a="http://schemas.openxmlformats.org/drawingml/2006/main" xmlns:pic="http://schemas.openxmlformats.org/drawingml/2006/picture">
            <wp:extent cx="5029200" cy="2519629"/>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2519629"/>
                    </a:xfrm>
                    <a:prstGeom prst="rect"/>
                  </pic:spPr>
                </pic:pic>
              </a:graphicData>
            </a:graphic>
          </wp:inline>
        </w:drawing>
      </w:r>
    </w:p>
    <w:p>
      <w:bookmarkStart w:id="110" w:name="sisvan_obesidade_percentual_por_ano"/>
      <w:r>
        <w:t>O percentual de crianças com obesidade, semelhante ao com sobrepeso, também apresentou oscilações ao longo da série. Após crescimento entre 2008 e 2013, o indicador atingiu seu maior valor em 2013, com 11,36%. Nos anos seguintes houve tendência de redução, chegando a 5,36% em 2020. A partir de 2022, os valores permaneceram relativamente estáveis, com leve aumento recente, alcançando 7,34% em 2025. O valor de 2009, de 0,07%, aparece muito abaixo do restante da série e deve ser interpretado com cautela.</w:t>
      </w:r>
      <w:bookmarkEnd w:id="110"/>
    </w:p>
    <w:p>
      <w:r>
        <w:rPr>
          <w:i/>
        </w:rPr>
        <w:t>Tabela de apoio: `sisvan_sobrepeso_por_ano.csv`</w:t>
      </w:r>
    </w:p>
    <w:p>
      <w:pPr>
        <w:pStyle w:val="Heading2"/>
      </w:pPr>
      <w:r>
        <w:t>Síntese do eixo — Alimentação  ⬜</w:t>
      </w:r>
    </w:p>
    <w:p>
      <w:bookmarkStart w:id="111" w:name="sintese_alimentacao"/>
      <w:r>
        <w:t>Mauris massa voluptatibus consectetur fermentum sed enim tincidunt sed ac aute ullam officiis ab consectetuer consequat ac leo malesuada temporibus omnis felis minim scelerisque ac voluptates massa semper donec elementum sequi curabitur sed a dicta sed repudiandae necessitatibus saepe diam sint leo fringilla anim possimus morbi dicta rem lacus consequat scelerisque ab assumenda eveniet nunc sed eu repellendus ante vestibulum magni reiciendis nullam dolor laudantium vitae assumenda architecto nesciunt egestas aenean viverra qui tellus perspiciatis eius ab magni voluptate alias scelerisque egestas rerum ea proident dolor et vivamus doloremque mollit minim rem aut esse aliqua perspiciatis totam rem fames ut vitae velit felis nec est in ratione.</w:t>
      </w:r>
      <w:bookmarkEnd w:id="111"/>
    </w:p>
    <w:p>
      <w:pPr>
        <w:pStyle w:val="Heading1"/>
      </w:pPr>
      <w:r>
        <w:t>🏠 Moradia</w:t>
      </w:r>
    </w:p>
    <w:p>
      <w:pPr>
        <w:pStyle w:val="Heading2"/>
      </w:pPr>
      <w:r>
        <w:t>Principais achados — Moradia  ⬜</w:t>
      </w:r>
    </w:p>
    <w:p>
      <w:r>
        <w:rPr>
          <w:i/>
        </w:rPr>
        <w:t>Uma frase por linha (Shift+Enter entre as frases).</w:t>
      </w:r>
    </w:p>
    <w:p>
      <w:bookmarkStart w:id="112" w:name="achados_moradia"/>
      <w:r>
        <w:t>Maiores suscipit ea possimus doloribus asperiores repudiandae sed eiusmod at consectetuer quia.</w:t>
        <w:br/>
        <w:t>Velit fringilla qui est porro odit sunt eleifend amet dolore odit culpa.</w:t>
        <w:br/>
        <w:t>Earum deserunt aut veniam lorem molestiae sit lorem varius nibh dolor qui.</w:t>
        <w:br/>
        <w:t>Fringilla eius assumenda eleifend error netus et tellus exercitation dolor proin ullam.</w:t>
        <w:br/>
        <w:t>Est ipsum laborum aenean ex cras egestas curabitur reiciendis donec quisquam ipsum.</w:t>
      </w:r>
      <w:bookmarkEnd w:id="112"/>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p>
      <w:pPr>
        <w:pStyle w:val="Heading2"/>
      </w:pPr>
      <w:r>
        <w:t>Síntese do eixo — Moradia  ⬜</w:t>
      </w:r>
    </w:p>
    <w:p>
      <w:bookmarkStart w:id="113" w:name="sintese_moradia"/>
      <w:r>
        <w:t>Quaerat scelerisque quaerat vestibulum eum vitae iste primis consequuntur felis arcu curabitur aliqua enim eiusmod vitae pretium pede et netus suspendisse aliquip massa laboris nunc justo vivamus magni mauris repellat laboris tristique anim libero aperiam iure proident turpis faucibus neque viverra vivamus voluptatibus tempora elit eu et quibusdam dui a culpa vel lorem lorem cras eu elit nihil diam dolor dui donec et nisi consequat minim eget dictum vitae dolor illum enim magnam reiciendis inventore qui qui aliquet morbi integer turpis egestas iure dapibus proident aut tenetur sapien sit nisi culpa explicabo ratione commodo aenean rhoncus in dictum nullam suspendisse nulla sed aspernatur eveniet asperiores semper sed facilisi sapien do fames nunc voluptate aliquet et veniam mollit ipsum venenatis fermentum pede dictum pede massa amet ipsam dolorem esse elit vitae netus ipsum est in ex nec eleifend quaerat possimus est varius ab cillum dolor vitae qui culpa dignissim do ratione voluptatem dolor arcu quisquam non nostrum aute eleifend consequuntur nullam ipsum pede nesciunt pharetra vivamus diam vestibulum.</w:t>
      </w:r>
      <w:bookmarkEnd w:id="113"/>
    </w:p>
    <w:p>
      <w:pPr>
        <w:pStyle w:val="Heading1"/>
      </w:pPr>
      <w:r>
        <w:t>Considerações finais  ✏️ ⚠️</w:t>
      </w:r>
    </w:p>
    <w:p>
      <w:bookmarkStart w:id="114" w:name="consideracoes_finais"/>
      <w:r>
        <w:t>A análise dos indicadores aqui trabalhados nos dá uma visão multidimensional da primeira infância na cidade do Rio de Janeiro. Ela mostra o que melhorou, mas também as desigualdades e os desafios que a prefeitura precisa acompanhar de perto. Fica claro que a situação das crianças não se resume a um único fator: saúde, renda, educação, alimentação, vacinas e o território onde moram estão todos interligados.</w:t>
        <w:br/>
        <w:t>Na saúde, vimos uma queda importante nas mortes infantis por causas evitáveis. Porém, muitas dessas mortes ainda estão ligadas à falta de cuidado adequado com a mulher durante a gravidez. Como a maioria acontece nos primeiros meses de vida do bebê, é fundamental melhorar a rede de apoio desde o pré-natal até o primeiro ano da criança, incluindo o momento do parto.</w:t>
        <w:br/>
        <w:t>Além disso, a realidade muda muito dependendo da região da cidade. As Zonas Norte e Oeste concentram mais famílias no Cadastro Único (CadÚnico), mais bebês nascendo com baixo peso e mais casos de mortalidade. Isso aponta as áreas onde a prefeitura precisa investigar mais a fundo as condições sociais e reforçar os serviços oferecidos à população.</w:t>
        <w:br/>
        <w:t>O CadÚnico reforça o peso da questão financeira. A grande concentração de famílias com crianças pequenas nas faixas de renda mais baixas mostra que o planejamento público deve considerar a multidimensionalidade da pobreza. É preciso unir ações de saúde, educação e assistência social, focando especialmente nessas áreas mais vulneráveis.</w:t>
        <w:br/>
        <w:t>Na educação, as crianças passam a ir mais à escola à medida que crescem, mas ainda há quem esteja fora da pré-escola, que tem a obrigatoriedade com força constitucional a partir dos 4 anos. O desafio aqui não é só olhar para a média da cidade, mas descobrir em quais bairros essas crianças estão e quais obstáculos as impedem de estudar.</w:t>
        <w:br/>
        <w:t>A vacinação é outro ponto de alerta. Depois de uma queda entre 2019 e 2022, as taxas começaram a subir em 2023. O problema é que essa melhora não foi igual para todas as vacinas, e ainda há atrasos nas doses de reforço. Já os dados de nutrição revelam duas faces do mesmo problema: a desnutrição persiste, ao mesmo tempo em que o sobrepeso e a obesidade infantil vêm crescendo. Isso exige um olhar mais amplo sobre a alimentação, que não trate o problema apenas como falta de comida ou apenas como excesso de peso, a segurança alimentar também considera a nutrição e qualidade dessa alimentação.</w:t>
        <w:br/>
        <w:t>Tudo isso mostra que os desafios da primeira infância no Rio são, simultaneamente, de saúde, educação, nutrição e moradia. Para dar conta, o poder público deve atuar de forma isolada e integrar o trabalho de suas diferentes secretarias e serviços.</w:t>
        <w:br/>
        <w:t>Ainda assim, é preciso olhar para os números com cautela. As informações vêm de bases de dados diferentes e não indicam necessária causalidade.  O grande valor desse diagnóstico é colocar uma lupa de forma integrada nas tendências e desigualdades do território no que diz respeito à primeira infância. Esse levantamento deve ajudar a prefeitura a planejar, agir e avaliar constantemente suas ações.</w:t>
      </w:r>
      <w:bookmarkEnd w:id="114"/>
    </w:p>
    <w:p>
      <w:r>
        <w:rPr>
          <w:i/>
          <w:color w:val="B03A2E"/>
          <w:sz w:val="18"/>
        </w:rPr>
        <w:t>⚠️ F</w:t>
      </w:r>
    </w:p>
    <w:p>
      <w:r>
        <w:rPr>
          <w:i/>
          <w:color w:val="B03A2E"/>
          <w:sz w:val="18"/>
        </w:rPr>
        <w:t>⚠️ r</w:t>
      </w:r>
    </w:p>
    <w:p>
      <w:r>
        <w:rPr>
          <w:i/>
          <w:color w:val="B03A2E"/>
          <w:sz w:val="18"/>
        </w:rPr>
        <w:t>⚠️ a</w:t>
      </w:r>
    </w:p>
    <w:p>
      <w:r>
        <w:rPr>
          <w:i/>
          <w:color w:val="B03A2E"/>
          <w:sz w:val="18"/>
        </w:rPr>
        <w:t>⚠️ s</w:t>
      </w:r>
    </w:p>
    <w:p>
      <w:r>
        <w:rPr>
          <w:i/>
          <w:color w:val="B03A2E"/>
          <w:sz w:val="18"/>
        </w:rPr>
        <w:t>⚠️ e</w:t>
      </w:r>
    </w:p>
    <w:p>
      <w:r>
        <w:rPr>
          <w:i/>
          <w:color w:val="B03A2E"/>
          <w:sz w:val="18"/>
        </w:rPr>
        <w:t xml:space="preserve">⚠️  </w:t>
      </w:r>
    </w:p>
    <w:p>
      <w:r>
        <w:rPr>
          <w:i/>
          <w:color w:val="B03A2E"/>
          <w:sz w:val="18"/>
        </w:rPr>
        <w:t>⚠️ '</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r</w:t>
      </w:r>
    </w:p>
    <w:p>
      <w:r>
        <w:rPr>
          <w:i/>
          <w:color w:val="B03A2E"/>
          <w:sz w:val="18"/>
        </w:rPr>
        <w:t xml:space="preserve">⚠️  </w:t>
      </w:r>
    </w:p>
    <w:p>
      <w:r>
        <w:rPr>
          <w:i/>
          <w:color w:val="B03A2E"/>
          <w:sz w:val="18"/>
        </w:rPr>
        <w:t>⚠️ p</w:t>
      </w:r>
    </w:p>
    <w:p>
      <w:r>
        <w:rPr>
          <w:i/>
          <w:color w:val="B03A2E"/>
          <w:sz w:val="18"/>
        </w:rPr>
        <w:t>⚠️ ú</w:t>
      </w:r>
    </w:p>
    <w:p>
      <w:r>
        <w:rPr>
          <w:i/>
          <w:color w:val="B03A2E"/>
          <w:sz w:val="18"/>
        </w:rPr>
        <w:t>⚠️ b</w:t>
      </w:r>
    </w:p>
    <w:p>
      <w:r>
        <w:rPr>
          <w:i/>
          <w:color w:val="B03A2E"/>
          <w:sz w:val="18"/>
        </w:rPr>
        <w:t>⚠️ l</w:t>
      </w:r>
    </w:p>
    <w:p>
      <w:r>
        <w:rPr>
          <w:i/>
          <w:color w:val="B03A2E"/>
          <w:sz w:val="18"/>
        </w:rPr>
        <w:t>⚠️ i</w:t>
      </w:r>
    </w:p>
    <w:p>
      <w:r>
        <w:rPr>
          <w:i/>
          <w:color w:val="B03A2E"/>
          <w:sz w:val="18"/>
        </w:rPr>
        <w:t>⚠️ c</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xml:space="preserve">⚠️  </w:t>
      </w:r>
    </w:p>
    <w:p>
      <w:r>
        <w:rPr>
          <w:i/>
          <w:color w:val="B03A2E"/>
          <w:sz w:val="18"/>
        </w:rPr>
        <w:t>⚠️ i</w:t>
      </w:r>
    </w:p>
    <w:p>
      <w:r>
        <w:rPr>
          <w:i/>
          <w:color w:val="B03A2E"/>
          <w:sz w:val="18"/>
        </w:rPr>
        <w:t>⚠️ n</w:t>
      </w:r>
    </w:p>
    <w:p>
      <w:r>
        <w:rPr>
          <w:i/>
          <w:color w:val="B03A2E"/>
          <w:sz w:val="18"/>
        </w:rPr>
        <w:t>⚠️ t</w:t>
      </w:r>
    </w:p>
    <w:p>
      <w:r>
        <w:rPr>
          <w:i/>
          <w:color w:val="B03A2E"/>
          <w:sz w:val="18"/>
        </w:rPr>
        <w:t>⚠️ e</w:t>
      </w:r>
    </w:p>
    <w:p>
      <w:r>
        <w:rPr>
          <w:i/>
          <w:color w:val="B03A2E"/>
          <w:sz w:val="18"/>
        </w:rPr>
        <w:t>⚠️ g</w:t>
      </w:r>
    </w:p>
    <w:p>
      <w:r>
        <w:rPr>
          <w:i/>
          <w:color w:val="B03A2E"/>
          <w:sz w:val="18"/>
        </w:rPr>
        <w:t>⚠️ r</w:t>
      </w:r>
    </w:p>
    <w:p>
      <w:r>
        <w:rPr>
          <w:i/>
          <w:color w:val="B03A2E"/>
          <w:sz w:val="18"/>
        </w:rPr>
        <w:t>⚠️ a</w:t>
      </w:r>
    </w:p>
    <w:p>
      <w:r>
        <w:rPr>
          <w:i/>
          <w:color w:val="B03A2E"/>
          <w:sz w:val="18"/>
        </w:rPr>
        <w:t>⚠️ r</w:t>
      </w:r>
    </w:p>
    <w:p>
      <w:r>
        <w:rPr>
          <w:i/>
          <w:color w:val="B03A2E"/>
          <w:sz w:val="18"/>
        </w:rPr>
        <w:t>⚠️ .</w:t>
      </w:r>
    </w:p>
    <w:p>
      <w:r>
        <w:rPr>
          <w:i/>
          <w:color w:val="B03A2E"/>
          <w:sz w:val="18"/>
        </w:rPr>
        <w:t>⚠️ .</w:t>
      </w:r>
    </w:p>
    <w:p>
      <w:r>
        <w:rPr>
          <w:i/>
          <w:color w:val="B03A2E"/>
          <w:sz w:val="18"/>
        </w:rPr>
        <w:t>⚠️ .</w:t>
      </w:r>
    </w:p>
    <w:p>
      <w:r>
        <w:rPr>
          <w:i/>
          <w:color w:val="B03A2E"/>
          <w:sz w:val="18"/>
        </w:rPr>
        <w:t>⚠️ '</w:t>
      </w:r>
    </w:p>
    <w:p>
      <w:r>
        <w:rPr>
          <w:i/>
          <w:color w:val="B03A2E"/>
          <w:sz w:val="18"/>
        </w:rPr>
        <w:t xml:space="preserve">⚠️  </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o</w:t>
      </w:r>
    </w:p>
    <w:p>
      <w:r>
        <w:rPr>
          <w:i/>
          <w:color w:val="B03A2E"/>
          <w:sz w:val="18"/>
        </w:rPr>
        <w:t>⚠️ v</w:t>
      </w:r>
    </w:p>
    <w:p>
      <w:r>
        <w:rPr>
          <w:i/>
          <w:color w:val="B03A2E"/>
          <w:sz w:val="18"/>
        </w:rPr>
        <w:t>⚠️ a</w:t>
      </w:r>
    </w:p>
    <w:p>
      <w:r>
        <w:rPr>
          <w:i/>
          <w:color w:val="B03A2E"/>
          <w:sz w:val="18"/>
        </w:rPr>
        <w:t>⚠️ v</w:t>
      </w:r>
    </w:p>
    <w:p>
      <w:r>
        <w:rPr>
          <w:i/>
          <w:color w:val="B03A2E"/>
          <w:sz w:val="18"/>
        </w:rPr>
        <w:t>⚠️ e</w:t>
      </w:r>
    </w:p>
    <w:p>
      <w:r>
        <w:rPr>
          <w:i/>
          <w:color w:val="B03A2E"/>
          <w:sz w:val="18"/>
        </w:rPr>
        <w:t>⚠️ l</w:t>
      </w:r>
    </w:p>
    <w:p>
      <w:r>
        <w:rPr>
          <w:i/>
          <w:color w:val="B03A2E"/>
          <w:sz w:val="18"/>
        </w:rPr>
        <w:t>⚠️ m</w:t>
      </w:r>
    </w:p>
    <w:p>
      <w:r>
        <w:rPr>
          <w:i/>
          <w:color w:val="B03A2E"/>
          <w:sz w:val="18"/>
        </w:rPr>
        <w:t>⚠️ e</w:t>
      </w:r>
    </w:p>
    <w:p>
      <w:r>
        <w:rPr>
          <w:i/>
          <w:color w:val="B03A2E"/>
          <w:sz w:val="18"/>
        </w:rPr>
        <w:t>⚠️ n</w:t>
      </w:r>
    </w:p>
    <w:p>
      <w:r>
        <w:rPr>
          <w:i/>
          <w:color w:val="B03A2E"/>
          <w:sz w:val="18"/>
        </w:rPr>
        <w:t>⚠️ t</w:t>
      </w:r>
    </w:p>
    <w:p>
      <w:r>
        <w:rPr>
          <w:i/>
          <w:color w:val="B03A2E"/>
          <w:sz w:val="18"/>
        </w:rPr>
        <w:t>⚠️ e</w:t>
      </w:r>
    </w:p>
    <w:p>
      <w:r>
        <w:rPr>
          <w:i/>
          <w:color w:val="B03A2E"/>
          <w:sz w:val="18"/>
        </w:rPr>
        <w:t xml:space="preserve">⚠️  </w:t>
      </w:r>
    </w:p>
    <w:p>
      <w:r>
        <w:rPr>
          <w:i/>
          <w:color w:val="B03A2E"/>
          <w:sz w:val="18"/>
        </w:rPr>
        <w:t>⚠️ f</w:t>
      </w:r>
    </w:p>
    <w:p>
      <w:r>
        <w:rPr>
          <w:i/>
          <w:color w:val="B03A2E"/>
          <w:sz w:val="18"/>
        </w:rPr>
        <w:t>⚠️ a</w:t>
      </w:r>
    </w:p>
    <w:p>
      <w:r>
        <w:rPr>
          <w:i/>
          <w:color w:val="B03A2E"/>
          <w:sz w:val="18"/>
        </w:rPr>
        <w:t>⚠️ l</w:t>
      </w:r>
    </w:p>
    <w:p>
      <w:r>
        <w:rPr>
          <w:i/>
          <w:color w:val="B03A2E"/>
          <w:sz w:val="18"/>
        </w:rPr>
        <w:t>⚠️ t</w:t>
      </w:r>
    </w:p>
    <w:p>
      <w:r>
        <w:rPr>
          <w:i/>
          <w:color w:val="B03A2E"/>
          <w:sz w:val="18"/>
        </w:rPr>
        <w:t>⚠️ a</w:t>
      </w:r>
    </w:p>
    <w:p>
      <w:r>
        <w:rPr>
          <w:i/>
          <w:color w:val="B03A2E"/>
          <w:sz w:val="18"/>
        </w:rPr>
        <w:t xml:space="preserve">⚠️  </w:t>
      </w:r>
    </w:p>
    <w:p>
      <w:r>
        <w:rPr>
          <w:i/>
          <w:color w:val="B03A2E"/>
          <w:sz w:val="18"/>
        </w:rPr>
        <w:t>⚠️ u</w:t>
      </w:r>
    </w:p>
    <w:p>
      <w:r>
        <w:rPr>
          <w:i/>
          <w:color w:val="B03A2E"/>
          <w:sz w:val="18"/>
        </w:rPr>
        <w:t>⚠️ m</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w:t>
      </w:r>
    </w:p>
    <w:p>
      <w:r>
        <w:rPr>
          <w:i/>
          <w:color w:val="B03A2E"/>
          <w:sz w:val="18"/>
        </w:rPr>
        <w:t>⚠️ .</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color w:val="B03A2E"/>
          <w:sz w:val="18"/>
        </w:rPr>
        <w:t xml:space="preserve">⚠️  </w:t>
      </w:r>
    </w:p>
    <w:p>
      <w:r>
        <w:rPr>
          <w:i/>
          <w:color w:val="B03A2E"/>
          <w:sz w:val="18"/>
        </w:rPr>
        <w:t>⚠️ V</w:t>
      </w:r>
    </w:p>
    <w:p>
      <w:r>
        <w:rPr>
          <w:i/>
          <w:color w:val="B03A2E"/>
          <w:sz w:val="18"/>
        </w:rPr>
        <w:t>⚠️ e</w:t>
      </w:r>
    </w:p>
    <w:p>
      <w:r>
        <w:rPr>
          <w:i/>
          <w:color w:val="B03A2E"/>
          <w:sz w:val="18"/>
        </w:rPr>
        <w:t>⚠️ i</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p</w:t>
      </w:r>
    </w:p>
    <w:p>
      <w:r>
        <w:rPr>
          <w:i/>
          <w:color w:val="B03A2E"/>
          <w:sz w:val="18"/>
        </w:rPr>
        <w:t>⚠️ o</w:t>
      </w:r>
    </w:p>
    <w:p>
      <w:r>
        <w:rPr>
          <w:i/>
          <w:color w:val="B03A2E"/>
          <w:sz w:val="18"/>
        </w:rPr>
        <w:t>⚠️ i</w:t>
      </w:r>
    </w:p>
    <w:p>
      <w:r>
        <w:rPr>
          <w:i/>
          <w:color w:val="B03A2E"/>
          <w:sz w:val="18"/>
        </w:rPr>
        <w:t>⚠️ s</w:t>
      </w:r>
    </w:p>
    <w:p>
      <w:r>
        <w:rPr>
          <w:i/>
          <w:color w:val="B03A2E"/>
          <w:sz w:val="18"/>
        </w:rPr>
        <w:t xml:space="preserve">⚠️  </w:t>
      </w:r>
    </w:p>
    <w:p>
      <w:r>
        <w:rPr>
          <w:i/>
          <w:color w:val="B03A2E"/>
          <w:sz w:val="18"/>
        </w:rPr>
        <w:t>⚠️ d</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o</w:t>
      </w:r>
    </w:p>
    <w:p>
      <w:r>
        <w:rPr>
          <w:i/>
          <w:color w:val="B03A2E"/>
          <w:sz w:val="18"/>
        </w:rPr>
        <w:t>⚠️ b</w:t>
      </w:r>
    </w:p>
    <w:p>
      <w:r>
        <w:rPr>
          <w:i/>
          <w:color w:val="B03A2E"/>
          <w:sz w:val="18"/>
        </w:rPr>
        <w:t>⚠️ e</w:t>
      </w:r>
    </w:p>
    <w:p>
      <w:r>
        <w:rPr>
          <w:i/>
          <w:color w:val="B03A2E"/>
          <w:sz w:val="18"/>
        </w:rPr>
        <w:t>⚠️ s</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I</w:t>
      </w:r>
    </w:p>
    <w:p>
      <w:r>
        <w:rPr>
          <w:i/>
          <w:color w:val="B03A2E"/>
          <w:sz w:val="18"/>
        </w:rPr>
        <w:t>⚠️ S</w:t>
      </w:r>
    </w:p>
    <w:p>
      <w:r>
        <w:rPr>
          <w:i/>
          <w:color w:val="B03A2E"/>
          <w:sz w:val="18"/>
        </w:rPr>
        <w:t>⚠️ V</w:t>
      </w:r>
    </w:p>
    <w:p>
      <w:r>
        <w:rPr>
          <w:i/>
          <w:color w:val="B03A2E"/>
          <w:sz w:val="18"/>
        </w:rPr>
        <w:t>⚠️ A</w:t>
      </w:r>
    </w:p>
    <w:p>
      <w:r>
        <w:rPr>
          <w:i/>
          <w:color w:val="B03A2E"/>
          <w:sz w:val="18"/>
        </w:rPr>
        <w:t>⚠️ N</w:t>
      </w:r>
    </w:p>
    <w:p>
      <w:r>
        <w:rPr>
          <w:i/>
          <w:color w:val="B03A2E"/>
          <w:sz w:val="18"/>
        </w:rPr>
        <w:t xml:space="preserve">⚠️  </w:t>
      </w:r>
    </w:p>
    <w:p>
      <w:r>
        <w:rPr>
          <w:i/>
          <w:color w:val="B03A2E"/>
          <w:sz w:val="18"/>
        </w:rPr>
        <w:t>⚠️ n</w:t>
      </w:r>
    </w:p>
    <w:p>
      <w:r>
        <w:rPr>
          <w:i/>
          <w:color w:val="B03A2E"/>
          <w:sz w:val="18"/>
        </w:rPr>
        <w:t>⚠️ o</w:t>
      </w:r>
    </w:p>
    <w:p>
      <w:r>
        <w:rPr>
          <w:i/>
          <w:color w:val="B03A2E"/>
          <w:sz w:val="18"/>
        </w:rPr>
        <w:t xml:space="preserve">⚠️  </w:t>
      </w:r>
    </w:p>
    <w:p>
      <w:r>
        <w:rPr>
          <w:i/>
          <w:color w:val="B03A2E"/>
          <w:sz w:val="18"/>
        </w:rPr>
        <w:t>⚠️ u</w:t>
      </w:r>
    </w:p>
    <w:p>
      <w:r>
        <w:rPr>
          <w:i/>
          <w:color w:val="B03A2E"/>
          <w:sz w:val="18"/>
        </w:rPr>
        <w:t>⚠️ p</w:t>
      </w:r>
    </w:p>
    <w:p>
      <w:r>
        <w:rPr>
          <w:i/>
          <w:color w:val="B03A2E"/>
          <w:sz w:val="18"/>
        </w:rPr>
        <w:t>⚠️ d</w:t>
      </w:r>
    </w:p>
    <w:p>
      <w:r>
        <w:rPr>
          <w:i/>
          <w:color w:val="B03A2E"/>
          <w:sz w:val="18"/>
        </w:rPr>
        <w:t>⚠️ a</w:t>
      </w:r>
    </w:p>
    <w:p>
      <w:r>
        <w:rPr>
          <w:i/>
          <w:color w:val="B03A2E"/>
          <w:sz w:val="18"/>
        </w:rPr>
        <w:t>⚠️ t</w:t>
      </w:r>
    </w:p>
    <w:p>
      <w:r>
        <w:rPr>
          <w:i/>
          <w:color w:val="B03A2E"/>
          <w:sz w:val="18"/>
        </w:rPr>
        <w:t>⚠️ e</w:t>
      </w:r>
    </w:p>
    <w:p>
      <w:r>
        <w:rPr>
          <w:i/>
          <w:color w:val="B03A2E"/>
          <w:sz w:val="18"/>
        </w:rPr>
        <w:t xml:space="preserve">⚠️  </w:t>
      </w:r>
    </w:p>
    <w:p>
      <w:r>
        <w:rPr>
          <w:i/>
          <w:color w:val="B03A2E"/>
          <w:sz w:val="18"/>
        </w:rPr>
        <w:t>⚠️ 4</w:t>
      </w:r>
    </w:p>
    <w:p>
      <w:r>
        <w:rPr>
          <w:i/>
          <w:color w:val="B03A2E"/>
          <w:sz w:val="18"/>
        </w:rPr>
        <w:t xml:space="preserve">⚠️  </w:t>
      </w:r>
    </w:p>
    <w:p>
      <w:r>
        <w:rPr>
          <w:i/>
          <w:color w:val="B03A2E"/>
          <w:sz w:val="18"/>
        </w:rPr>
        <w:t>⚠️ (</w:t>
      </w:r>
    </w:p>
    <w:p>
      <w:r>
        <w:rPr>
          <w:i/>
          <w:color w:val="B03A2E"/>
          <w:sz w:val="18"/>
        </w:rPr>
        <w:t>⚠️ t</w:t>
      </w:r>
    </w:p>
    <w:p>
      <w:r>
        <w:rPr>
          <w:i/>
          <w:color w:val="B03A2E"/>
          <w:sz w:val="18"/>
        </w:rPr>
        <w:t>⚠️ í</w:t>
      </w:r>
    </w:p>
    <w:p>
      <w:r>
        <w:rPr>
          <w:i/>
          <w:color w:val="B03A2E"/>
          <w:sz w:val="18"/>
        </w:rPr>
        <w:t>⚠️ t</w:t>
      </w:r>
    </w:p>
    <w:p>
      <w:r>
        <w:rPr>
          <w:i/>
          <w:color w:val="B03A2E"/>
          <w:sz w:val="18"/>
        </w:rPr>
        <w:t>⚠️ u</w:t>
      </w:r>
    </w:p>
    <w:p>
      <w:r>
        <w:rPr>
          <w:i/>
          <w:color w:val="B03A2E"/>
          <w:sz w:val="18"/>
        </w:rPr>
        <w:t>⚠️ l</w:t>
      </w:r>
    </w:p>
    <w:p>
      <w:r>
        <w:rPr>
          <w:i/>
          <w:color w:val="B03A2E"/>
          <w:sz w:val="18"/>
        </w:rPr>
        <w:t>⚠️ o</w:t>
      </w:r>
    </w:p>
    <w:p>
      <w:r>
        <w:rPr>
          <w:i/>
          <w:color w:val="B03A2E"/>
          <w:sz w:val="18"/>
        </w:rPr>
        <w:t xml:space="preserve">⚠️  </w:t>
      </w:r>
    </w:p>
    <w:p>
      <w:r>
        <w:rPr>
          <w:i/>
          <w:color w:val="B03A2E"/>
          <w:sz w:val="18"/>
        </w:rPr>
        <w:t>⚠️ '</w:t>
      </w:r>
    </w:p>
    <w:p>
      <w:r>
        <w:rPr>
          <w:i/>
          <w:color w:val="B03A2E"/>
          <w:sz w:val="18"/>
        </w:rPr>
        <w:t>⚠️ C</w:t>
      </w:r>
    </w:p>
    <w:p>
      <w:r>
        <w:rPr>
          <w:i/>
          <w:color w:val="B03A2E"/>
          <w:sz w:val="18"/>
        </w:rPr>
        <w:t>⚠️ o</w:t>
      </w:r>
    </w:p>
    <w:p>
      <w:r>
        <w:rPr>
          <w:i/>
          <w:color w:val="B03A2E"/>
          <w:sz w:val="18"/>
        </w:rPr>
        <w:t>⚠️ n</w:t>
      </w:r>
    </w:p>
    <w:p>
      <w:r>
        <w:rPr>
          <w:i/>
          <w:color w:val="B03A2E"/>
          <w:sz w:val="18"/>
        </w:rPr>
        <w:t>⚠️ c</w:t>
      </w:r>
    </w:p>
    <w:p>
      <w:r>
        <w:rPr>
          <w:i/>
          <w:color w:val="B03A2E"/>
          <w:sz w:val="18"/>
        </w:rPr>
        <w:t>⚠️ l</w:t>
      </w:r>
    </w:p>
    <w:p>
      <w:r>
        <w:rPr>
          <w:i/>
          <w:color w:val="B03A2E"/>
          <w:sz w:val="18"/>
        </w:rPr>
        <w:t>⚠️ u</w:t>
      </w:r>
    </w:p>
    <w:p>
      <w:r>
        <w:rPr>
          <w:i/>
          <w:color w:val="B03A2E"/>
          <w:sz w:val="18"/>
        </w:rPr>
        <w:t>⚠️ s</w:t>
      </w:r>
    </w:p>
    <w:p>
      <w:r>
        <w:rPr>
          <w:i/>
          <w:color w:val="B03A2E"/>
          <w:sz w:val="18"/>
        </w:rPr>
        <w:t>⚠️ ã</w:t>
      </w:r>
    </w:p>
    <w:p>
      <w:r>
        <w:rPr>
          <w:i/>
          <w:color w:val="B03A2E"/>
          <w:sz w:val="18"/>
        </w:rPr>
        <w:t>⚠️ o</w:t>
      </w:r>
    </w:p>
    <w:p>
      <w:r>
        <w:rPr>
          <w:i/>
          <w:color w:val="B03A2E"/>
          <w:sz w:val="18"/>
        </w:rPr>
        <w:t>⚠️ '</w:t>
      </w:r>
    </w:p>
    <w:p>
      <w:r>
        <w:rPr>
          <w:i/>
          <w:color w:val="B03A2E"/>
          <w:sz w:val="18"/>
        </w:rPr>
        <w:t>⚠️ )</w:t>
      </w:r>
    </w:p>
    <w:p>
      <w:r>
        <w:rPr>
          <w:i/>
          <w:color w:val="B03A2E"/>
          <w:sz w:val="18"/>
        </w:rPr>
        <w:t>⚠️ .</w:t>
      </w:r>
    </w:p>
    <w:p>
      <w:pPr>
        <w:pStyle w:val="Heading1"/>
      </w:pPr>
      <w:r>
        <w:t>Textos órfãos</w:t>
      </w:r>
    </w:p>
    <w:p>
      <w:r>
        <w:rPr>
          <w:b/>
        </w:rPr>
        <w:t>mapa_obitos_neonatal_precoce_bairro_2025</w:t>
      </w:r>
    </w:p>
    <w:p>
      <w:bookmarkStart w:id="115"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15"/>
    </w:p>
    <w:p>
      <w:r>
        <w:rPr>
          <w:b/>
        </w:rPr>
        <w:t>mapa_obitos_neonatal_tardia_bairro_2025</w:t>
      </w:r>
    </w:p>
    <w:p>
      <w:bookmarkStart w:id="116"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16"/>
    </w:p>
    <w:p>
      <w:r>
        <w:rPr>
          <w:b/>
        </w:rPr>
        <w:t>mapa_obitos_gravidez_bairro_2025</w:t>
      </w:r>
    </w:p>
    <w:p>
      <w:bookmarkStart w:id="117" w:name="mapa_obitos_gravidez_bairro_2025"/>
      <w:r>
        <w:t>A distribuição territorial dos óbitos durante a gravidez permite identificar os bairros com registros do evento em 2025. Foram registrados 14 óbitos em 12 bairros, com dois registros em Vigário Geral e Rocinha. O total do mapa é menor que o da série municipal (15 óbitos em 2025) porque 1 registro não tem bairro de residência informado. Como são números absolutos e contagens pequenas, o mapa pode ser utilizado como referência territorial e relacionado a outros indicadores, como nascidos vivos, população e características demográficas, para ampliar a análise da mortalidade materna.</w:t>
      </w:r>
      <w:bookmarkEnd w:id="117"/>
    </w:p>
    <w:p>
      <w:r>
        <w:rPr>
          <w:b/>
        </w:rPr>
        <w:t>mapa_obitos_puerperio_bairro_2025</w:t>
      </w:r>
    </w:p>
    <w:p>
      <w:bookmarkStart w:id="118"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O total do mapa é menor que o da série municipal (35 óbitos em 2025) porque 4 registros não têm bairro de residência informado. Como são números absolutos, o mapa pode ser relacionado a outros indicadores, como nascidos vivos e características demográficas, para ampliar a análise territorial da mortalidade materna.</w:t>
      </w:r>
      <w:bookmarkEnd w:id="118"/>
    </w:p>
    <w:p>
      <w:r>
        <w:rPr>
          <w:b/>
        </w:rPr>
        <w:t>mapa_obitos_raca_total_bairro_2025</w:t>
      </w:r>
    </w:p>
    <w:p>
      <w:bookmarkStart w:id="119" w:name="mapa_obitos_raca_total_bairro_2025"/>
      <w:r>
        <w:t>A distribuição territorial dos óbitos infantis evidencia diferenças na quantidade de registros entre os bairros do município. Em 2025, Santa Cruz concentrou 53 óbitos, seguido por Campo Grande, com 40, e Jacarepaguá, com 32. Dos 167 bairros presentes na tabela, 139 registraram ao menos um óbito e 28 não apresentaram registros. Como o mapa utiliza números absolutos, essas diferenças podem ser relacionadas ao número de nascidos vivos de cada território, permitindo complementar a análise com a taxa de mortalidade infantil e outros recortes demográficos.</w:t>
      </w:r>
      <w:bookmarkEnd w:id="119"/>
    </w:p>
    <w:p>
      <w:r>
        <w:rPr>
          <w:b/>
        </w:rPr>
        <w:t>cobertura_vacinal_epi_ano</w:t>
      </w:r>
    </w:p>
    <w:p>
      <w:bookmarkStart w:id="120" w:name="cobertura_vacinal_epi_ano"/>
      <w:r>
        <w:t>A evolução da cobertura vacinal na cidade do Rio de Janeiro traz uma trajetória com uma elevada cobertura para grande parte dos imunizantes até 2018, momento que se inicia uma redução entre os anos de 2019 e 2022. A partir de 2023 observa-se recuperação das coberturas, especialmente para pneumocócica 10-valente, poliomielite, meningocócica C, rotavírus e primeira dose da tríplice viral. Entretanto, a recuperação não é homogênea entre os imunizantes, permanecendo níveis baixos em vacinas como DTP de primeiro reforço, hepatite A e segunda dose da tríplice viral, chamando atenção para o cuidado com as doses de reforço.</w:t>
      </w:r>
      <w:bookmarkEnd w:id="120"/>
    </w:p>
    <w:p>
      <w:r>
        <w:rPr>
          <w:b/>
        </w:rPr>
        <w:t>cobertura_vacinal_epi_comparativo_anos</w:t>
      </w:r>
    </w:p>
    <w:p>
      <w:bookmarkStart w:id="121" w:name="cobertura_vacinal_epi_comparativo_anos"/>
      <w:r>
        <w:t>A cobertura vacinal no município do Rio de Janeiro quando analisada comparando-se os anos apresenta uma trajetória marcada por um patamar relativamente elevado e heterogêneo no início da série, uma redução generalizada que atinge seu ponto mais baixo em 2022e  e uma recuperação observada a partir de 2023, ficando mais evidente em 2025. Entretanto, a recuperação não é uniforme entre os imunobiológicos, permanecendo baixas em coberturas de algumas doses de reforço/esquema vacinal.</w:t>
      </w:r>
      <w:bookmarkEnd w:id="121"/>
    </w:p>
    <w:p>
      <w:r>
        <w:rPr>
          <w:b/>
        </w:rPr>
        <w:t>mapa_mortalidade_infantil_bairro_2025</w:t>
      </w:r>
    </w:p>
    <w:p>
      <w:bookmarkStart w:id="122" w:name="mapa_mortalidade_infantil_bairro_2025"/>
      <w:r>
        <w:t>Em 2025, foram registrados 773 óbitos infantis nos bairros analisados. Santa Cruz concentrou 53 registros, seguida por Campo Grande, com 40, e Jacarepaguá, com 32. Em 28 dos 167 bairros não houve registro de óbitos. Como os números variam também conforme o tamanho da população de nascidos vivos, a comparação entre os bairros ganha contexto quando relacionada à respectiva taxa de mortalidade infantil.</w:t>
      </w:r>
      <w:bookmarkEnd w:id="122"/>
    </w:p>
    <w:p>
      <w:r>
        <w:rPr>
          <w:b/>
        </w:rPr>
        <w:t>mapa_obitos_pos_neonatal_bairro_2025</w:t>
      </w:r>
    </w:p>
    <w:p>
      <w:bookmarkStart w:id="123" w:name="mapa_obitos_pos_neonatal_bairro_2025"/>
      <w:r>
        <w:t>A distribuição territorial permite comparar a ocorrência dos óbitos pós-neonatais entre os bairros em 2025. Santa Cruz e Jacarepaguá registraram 13 óbitos cada, seguidos por Campo Grande, com 12, e Bangu, com 10. Em 63 dos 167 bairros analisados não foram registrados óbitos nesse período. Por se tratar de números absolutos, a distribuição pode ser analisada em conjunto com o número de nascidos vivos de cada bairro, permitindo relacionar os registros ao tamanho da população exposta. A comparação com a taxa de mortalidade pós-neonatal complementa essa leitura territorial.</w:t>
      </w:r>
      <w:bookmarkEnd w:id="123"/>
    </w:p>
    <w:p>
      <w:r>
        <w:rPr>
          <w:b/>
        </w:rPr>
        <w:t>obitos_causas_evitaveis_raca_ano</w:t>
      </w:r>
    </w:p>
    <w:p>
      <w:bookmarkStart w:id="124" w:name="obitos_causas_evitaveis_raca_ano"/>
      <w:r>
        <w:t>A série permite acompanhar a distribuição dos óbitos por causas evitáveis segundo raça/cor ao longo do período. Os registros apresentam diferentes trajetórias entre os grupos, com redução dos óbitos entre crianças classificadas como brancas em relação aos primeiros anos da série e valores mais elevados entre crianças pardas nos anos mais recentes. Em 2025, foram registrados 374 óbitos entre pardas, 251 entre brancas e 53 entre pretas. A categoria “Não informada” chegou a 44 registros no mesmo ano. A comparação entre os grupos permite analisar mudanças na composição dos óbitos e sua trajetória ao longo do tempo.</w:t>
      </w:r>
      <w:bookmarkEnd w:id="124"/>
    </w:p>
    <w:p>
      <w:r>
        <w:rPr>
          <w:b/>
        </w:rPr>
        <w:t>obitos_causas_evitaveis_raca_sem_nao_informado_ano</w:t>
      </w:r>
    </w:p>
    <w:p>
      <w:bookmarkStart w:id="125" w:name="obitos_causas_evitaveis_raca_sem_nao_informado_ano"/>
      <w:r>
        <w:t>Entre 1997 e 2025, os registros apresentam trajetórias distintas entre os grupos de raça/cor. Entre crianças brancas, os óbitos passaram de 775 em 1997 para 251 em 2025, enquanto entre crianças pardas passaram de 486 para 374. No grupo preto, houve redução de 135 para 53 registros no mesmo período. Entre crianças indígenas, foram registrados 1 óbito em 1997 e 1 em 2025, enquanto entre crianças amarelas os registros passaram de 5 para nenhum no período. A comparação entre os grupos permite acompanhar as mudanças na distribuição dos óbitos ao longo da série.</w:t>
      </w:r>
      <w:bookmarkEnd w:id="125"/>
    </w:p>
    <w:p>
      <w:r>
        <w:rPr>
          <w:b/>
        </w:rPr>
        <w:t>percentual_mortalidade_causas_evitaveis_raca_ano</w:t>
      </w:r>
    </w:p>
    <w:p>
      <w:bookmarkStart w:id="126" w:name="percentual_mortalidade_causas_evitaveis_raca_ano"/>
      <w:r>
        <w:t>Entre 2011 e 2025, os percentuais dos grupos branca e parda variaram relativamente pouco, passando de 1,78% para 1,23% e de 1,99% para 1,35%, respectivamente. No grupo preta, o valor caiu de 1,46% em 2011 para 0,52% em 2025. Entre os indígenas, houve maior oscilação, de 0% em 2012 a 4,08% em 2016, chegando a 1,45% em 2025. A categoria “Não informada” apresentou as maiores variações, atingindo 10,69% em 2013 e 8,32% em 2025.</w:t>
      </w:r>
      <w:bookmarkEnd w:id="126"/>
    </w:p>
    <w:p>
      <w:r>
        <w:rPr>
          <w:b/>
        </w:rPr>
        <w:t>percentual_mortalidade_causas_evitaveis_raca_sem_nao_informado_ano</w:t>
      </w:r>
    </w:p>
    <w:p>
      <w:bookmarkStart w:id="127" w:name="percentual_mortalidade_causas_evitaveis_raca_sem_nao_informado_ano"/>
      <w:r>
        <w:t>Entre 2011 e 2025, os percentuais dos grupos branca e parda apresentaram valores próximos, passando de 1,78% para 1,23% e de 1,99% para 1,35%, respectivamente. No grupo preto, o percentual passou de 1,46% para 0,52%. Entre indígenas, houve maior oscilação, de 0% em vários anos a 4,08% em 2016, chegando a 1,45% em 2025. No grupo amarelo, os valores variaram de 0% a 1,04%, com 0% em 2025. A comparação permite analisar diferenças na relação entre óbitos evitáveis e nascidos vivos entre os grupos ao longo da série.</w:t>
      </w:r>
      <w:bookmarkEnd w:id="127"/>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