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update 5 (2026-09-28).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50 · ✏️ 13 · ⬜ 59 · 🚧 9 · 16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por sexo</w:t>
            </w:r>
          </w:p>
        </w:tc>
        <w:tc>
          <w:tcPr>
            <w:tcW w:type="dxa" w:w="1440"/>
          </w:tcPr>
          <w:p>
            <w:r/>
            <w:r>
              <w:rPr>
                <w:sz w:val="16"/>
              </w:rPr>
              <w:t>Censo sidra populacao 0 6 sexo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Introdução</w:t>
            </w:r>
          </w:p>
        </w:tc>
        <w:tc>
          <w:tcPr>
            <w:tcW w:type="dxa" w:w="1440"/>
          </w:tcPr>
          <w:p>
            <w:r/>
            <w:r>
              <w:rPr>
                <w:sz w:val="16"/>
              </w:rPr>
              <w:t>Crianças até 72 meses, por raça/cor</w:t>
            </w:r>
          </w:p>
        </w:tc>
        <w:tc>
          <w:tcPr>
            <w:tcW w:type="dxa" w:w="1440"/>
          </w:tcPr>
          <w:p>
            <w:r/>
            <w:r>
              <w:rPr>
                <w:sz w:val="16"/>
              </w:rPr>
              <w:t>Censo sidra populacao 0 6 raca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Introdução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Introdução do eixo — Prioridade</w:t>
            </w:r>
          </w:p>
        </w:tc>
        <w:tc>
          <w:tcPr>
            <w:tcW w:type="dxa" w:w="1440"/>
          </w:tcPr>
          <w:p>
            <w:r/>
            <w:r>
              <w:rPr>
                <w:sz w:val="16"/>
              </w:rPr>
              <w:t>Introdução do eixo — Prioridade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o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n; ú; m; e; r; o; :;  ; o;  ; t; e; x; t; o;  ; d; i; z;  ; q; u; e;  ; o; s;  ; ó; b; i; t; o; s;  ; p; o; r;  ; a; t; e; n; ç; ã; o;  ; a; o;  ; r; e; c; é; m; -; n; a; s; c; i; d; o;  ; p; a; s; s; a; r; a; m;  ; d; e;  ; 1; 9; 8;  ; e; m;  ; 2; 0; 0; 6;  ; p; a; r; a;  ; 5; 5;  ; e; m;  ; 2; 0; 2; 5; ;;  ; e; m;  ; o; b; i; t; o; s; _; e; v; i; t; a; v; e; i; s; _; m; e; n; o; r; e; s; _; 5; _; s; u; b; g; r; u; p; o; _; m; u; n; i; c; i; p; i; o; _; a; n; o; .; c; s; v;  ; o;  ; v; a; l; o; r;  ; d; e;  ; 2; 0; 0; 6;  ; é;  ; 2; 0; 4;  ; (; 5; 5;  ; e; m;  ; 2; 0; 2; 5;  ; c; o; n; f; e; r; e; ); .;  ; T; e; x; t; o;  ; n; ã; o;  ; c; o; r; r; i; g; i; d; o; :;  ; d; e; c; i; s; ã; o;  ; d; a;  ; e; q; u; i; p; e; .</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Cadunico criancas por idade</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72 meses no Cadastro Único (número)</w:t>
            </w:r>
          </w:p>
        </w:tc>
        <w:tc>
          <w:tcPr>
            <w:tcW w:type="dxa" w:w="1440"/>
          </w:tcPr>
          <w:p>
            <w:r/>
            <w:r>
              <w:rPr>
                <w:sz w:val="16"/>
              </w:rPr>
              <w:t>Mapa cadunico criancas 0 a 4 bairro 2026</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(número)</w:t>
            </w:r>
          </w:p>
        </w:tc>
        <w:tc>
          <w:tcPr>
            <w:tcW w:type="dxa" w:w="1440"/>
          </w:tcPr>
          <w:p>
            <w:r/>
            <w:r>
              <w:rPr>
                <w:sz w:val="16"/>
              </w:rPr>
              <w:t>Cadunico familias por idade</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por renda</w:t>
            </w:r>
          </w:p>
        </w:tc>
        <w:tc>
          <w:tcPr>
            <w:tcW w:type="dxa" w:w="1440"/>
          </w:tcPr>
          <w:p>
            <w:r/>
            <w:r>
              <w:rPr>
                <w:sz w:val="16"/>
              </w:rPr>
              <w:t>Cadunico familias por faixa renda</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com crianças até 72 meses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Famílias no CadÚnico com crianças até 72 meses,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Introdução do eixo — Inclusão</w:t>
            </w:r>
          </w:p>
        </w:tc>
        <w:tc>
          <w:tcPr>
            <w:tcW w:type="dxa" w:w="1440"/>
          </w:tcPr>
          <w:p>
            <w:r/>
            <w:r>
              <w:rPr>
                <w:sz w:val="16"/>
              </w:rPr>
              <w:t>Introdução do eixo — Inclusão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Introdução do eixo — Família e Cuidados</w:t>
            </w:r>
          </w:p>
        </w:tc>
        <w:tc>
          <w:tcPr>
            <w:tcW w:type="dxa" w:w="1440"/>
          </w:tcPr>
          <w:p>
            <w:r/>
            <w:r>
              <w:rPr>
                <w:sz w:val="16"/>
              </w:rPr>
              <w:t>Introdução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por raça/cor</w:t>
            </w:r>
          </w:p>
        </w:tc>
        <w:tc>
          <w:tcPr>
            <w:tcW w:type="dxa" w:w="1440"/>
          </w:tcPr>
          <w:p>
            <w:r/>
            <w:r>
              <w:rPr>
                <w:sz w:val="16"/>
              </w:rPr>
              <w:t>Sidra taxa frequencia 0 6 raca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72 meses frequentando escola/creche, por sexo</w:t>
            </w:r>
          </w:p>
        </w:tc>
        <w:tc>
          <w:tcPr>
            <w:tcW w:type="dxa" w:w="1440"/>
          </w:tcPr>
          <w:p>
            <w:r/>
            <w:r>
              <w:rPr>
                <w:sz w:val="16"/>
              </w:rPr>
              <w:t>Sidra taxa frequencia 0 6 sexo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72 meses</w:t>
            </w:r>
          </w:p>
        </w:tc>
        <w:tc>
          <w:tcPr>
            <w:tcW w:type="dxa" w:w="1440"/>
          </w:tcPr>
          <w:p>
            <w:r/>
            <w:r>
              <w:rPr>
                <w:sz w:val="16"/>
              </w:rPr>
              <w:t>Sidra taxa frequencia 0 5 total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Cobertura vacinal epi ano</w:t>
            </w:r>
          </w:p>
        </w:tc>
        <w:tc>
          <w:tcPr>
            <w:tcW w:type="dxa" w:w="1440"/>
          </w:tcPr>
          <w:p>
            <w:r/>
            <w:r>
              <w:rPr>
                <w:sz w:val="16"/>
              </w:rPr>
              <w:t>✏️ atualizado</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Famílias no CadÚnico com crianças até 72 meses,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Introdução do eixo — Proteção</w:t>
            </w:r>
          </w:p>
        </w:tc>
        <w:tc>
          <w:tcPr>
            <w:tcW w:type="dxa" w:w="1440"/>
          </w:tcPr>
          <w:p>
            <w:r/>
            <w:r>
              <w:rPr>
                <w:sz w:val="16"/>
              </w:rPr>
              <w:t>Introdução do eixo — Proteção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(todas as naturezas)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Direito ao Brincar</w:t>
            </w:r>
          </w:p>
        </w:tc>
        <w:tc>
          <w:tcPr>
            <w:tcW w:type="dxa" w:w="1440"/>
          </w:tcPr>
          <w:p>
            <w:r/>
            <w:r>
              <w:rPr>
                <w:sz w:val="16"/>
              </w:rPr>
              <w:t>Principais achados — Direito ao Brincar</w:t>
            </w:r>
          </w:p>
        </w:tc>
        <w:tc>
          <w:tcPr>
            <w:tcW w:type="dxa" w:w="1440"/>
          </w:tcPr>
          <w:p>
            <w:r/>
            <w:r>
              <w:rPr>
                <w:sz w:val="16"/>
              </w:rPr>
              <w:t>Principais achados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Introdução do eixo — Direito ao Brincar</w:t>
            </w:r>
          </w:p>
        </w:tc>
        <w:tc>
          <w:tcPr>
            <w:tcW w:type="dxa" w:w="1440"/>
          </w:tcPr>
          <w:p>
            <w:r/>
            <w:r>
              <w:rPr>
                <w:sz w:val="16"/>
              </w:rPr>
              <w:t>Introdução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Direito ao Brincar</w:t>
            </w:r>
          </w:p>
        </w:tc>
        <w:tc>
          <w:tcPr>
            <w:tcW w:type="dxa" w:w="1440"/>
          </w:tcPr>
          <w:p>
            <w:r/>
            <w:r>
              <w:rPr>
                <w:sz w:val="16"/>
              </w:rPr>
              <w:t>Síntese do eixo — Direito ao Brincar</w:t>
            </w:r>
          </w:p>
        </w:tc>
        <w:tc>
          <w:tcPr>
            <w:tcW w:type="dxa" w:w="1440"/>
          </w:tcPr>
          <w:p>
            <w:r/>
            <w:r>
              <w:rPr>
                <w:sz w:val="16"/>
              </w:rPr>
              <w:t>Síntese do eixo — Direito ao Brincar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Introdução do eixo — Alimentação</w:t>
            </w:r>
          </w:p>
        </w:tc>
        <w:tc>
          <w:tcPr>
            <w:tcW w:type="dxa" w:w="1440"/>
          </w:tcPr>
          <w:p>
            <w:r/>
            <w:r>
              <w:rPr>
                <w:sz w:val="16"/>
              </w:rPr>
              <w:t>Introdução do eixo — Alimentação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Introdução do eixo — Moradia</w:t>
            </w:r>
          </w:p>
        </w:tc>
        <w:tc>
          <w:tcPr>
            <w:tcW w:type="dxa" w:w="1440"/>
          </w:tcPr>
          <w:p>
            <w:r/>
            <w:r>
              <w:rPr>
                <w:sz w:val="16"/>
              </w:rPr>
              <w:t>Introdução do eixo — Moradia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atualizado</w:t>
            </w:r>
          </w:p>
        </w:tc>
        <w:tc>
          <w:tcPr>
            <w:tcW w:type="dxa" w:w="1440"/>
          </w:tcPr>
          <w:p>
            <w:r/>
            <w:r>
              <w:rPr>
                <w:sz w:val="16"/>
              </w:rPr>
              <w:t>—</w:t>
            </w:r>
          </w:p>
        </w:tc>
        <w:tc>
          <w:tcPr>
            <w:tcW w:type="dxa" w:w="1440"/>
          </w:tcPr>
          <w:p>
            <w:r/>
            <w:r>
              <w:rPr>
                <w:sz w:val="16"/>
              </w:rPr>
              <w:t>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w:t>
      </w:r>
      <w:bookmarkEnd w:id="2"/>
    </w:p>
    <w:p>
      <w:pPr>
        <w:pStyle w:val="Heading1"/>
      </w:pPr>
      <w:r>
        <w:t>Introdução — Panorama da primeira infância carioca</w:t>
      </w:r>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3"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3"/>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4"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4"/>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5"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5"/>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6"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6"/>
    </w:p>
    <w:p>
      <w:r>
        <w:rPr>
          <w:i/>
        </w:rPr>
        <w:t>Tabela de apoio: `censo_0_a_4_anos_por_ano.csv`</w:t>
      </w:r>
    </w:p>
    <w:p>
      <w:pPr>
        <w:pStyle w:val="Heading2"/>
      </w:pPr>
      <w:r>
        <w:t>Crianças até 72 meses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7"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w:t>
      </w:r>
      <w:bookmarkEnd w:id="7"/>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8"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w:t>
      </w:r>
      <w:bookmarkEnd w:id="8"/>
    </w:p>
    <w:p>
      <w:r>
        <w:rPr>
          <w:i/>
        </w:rPr>
        <w:t>Tabela de apoio: `populacao_ripsa_0_a_6_por_ano.csv`</w:t>
      </w:r>
    </w:p>
    <w:p>
      <w:pPr>
        <w:pStyle w:val="Heading2"/>
      </w:pPr>
      <w:r>
        <w:t>Crianças até 72 meses, por sexo  ✏️</w:t>
      </w:r>
    </w:p>
    <w:p>
      <w:pPr>
        <w:pStyle w:val="Heading3"/>
      </w:pPr>
      <w:r>
        <w:t>Censo sidra populacao 0 6 sexo 2022  ✏️</w:t>
      </w:r>
    </w:p>
    <w:p>
      <w:r>
        <w:drawing>
          <wp:inline xmlns:a="http://schemas.openxmlformats.org/drawingml/2006/main" xmlns:pic="http://schemas.openxmlformats.org/drawingml/2006/picture">
            <wp:extent cx="5029200" cy="294208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942082"/>
                    </a:xfrm>
                    <a:prstGeom prst="rect"/>
                  </pic:spPr>
                </pic:pic>
              </a:graphicData>
            </a:graphic>
          </wp:inline>
        </w:drawing>
      </w:r>
    </w:p>
    <w:p>
      <w:bookmarkStart w:id="9" w:name="censo_sidra_populacao_0_6_sexo_2022"/>
      <w:r>
        <w:t>Os dados do Censo Demográfico 2022 permitem detalhar a população de crianças de 0 a 5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9"/>
    </w:p>
    <w:p>
      <w:r>
        <w:rPr>
          <w:i/>
        </w:rPr>
        <w:t>Tabela de apoio: `censo_sidra_populacao_0_6_sexo_2022.csv`</w:t>
      </w:r>
    </w:p>
    <w:p>
      <w:pPr>
        <w:pStyle w:val="Heading2"/>
      </w:pPr>
      <w:r>
        <w:t>Crianças até 72 meses,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2942082"/>
                    </a:xfrm>
                    <a:prstGeom prst="rect"/>
                  </pic:spPr>
                </pic:pic>
              </a:graphicData>
            </a:graphic>
          </wp:inline>
        </w:drawing>
      </w:r>
    </w:p>
    <w:p>
      <w:bookmarkStart w:id="10" w:name="censo_sidra_populacao_0_6_raca_2022"/>
      <w:r>
        <w:t>Os dados do Censo Demográfico 2022 permitem comparar a composição da população de 0 a 5 anos por raça/cor e idade. Entre menores de 1 ano, foram registrados 26.909 crianças brancas, 21.576 pardas e 5.762 pretas. Aos 5 anos, esses números passam para 29.746, 29.837 e 9.252, respectivamente. A comparação entre as idades permite observar mudanças na distribuição dos grupos de raça/cor ao longo da primeira infância. Os dados também possibilitam relacionar essa composição a outros indicadores do relatório que utilizem raça/cor e idade como dimensões de análise.</w:t>
      </w:r>
      <w:bookmarkEnd w:id="10"/>
    </w:p>
    <w:p>
      <w:r>
        <w:rPr>
          <w:i/>
        </w:rPr>
        <w:t>Tabela de apoio: `censo_sidra_populacao_0_6_raca_2022.csv`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1"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11"/>
    </w:p>
    <w:p>
      <w:pPr>
        <w:pStyle w:val="Heading3"/>
      </w:pPr>
      <w:r>
        <w:t>Mapa nascidos vivos bairro 2025  ✅</w:t>
      </w:r>
    </w:p>
    <w:p>
      <w:r>
        <w:drawing>
          <wp:inline xmlns:a="http://schemas.openxmlformats.org/drawingml/2006/main" xmlns:pic="http://schemas.openxmlformats.org/drawingml/2006/picture">
            <wp:extent cx="5029200" cy="3439973"/>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2"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2"/>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3"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3"/>
    </w:p>
    <w:p>
      <w:r>
        <w:rPr>
          <w:i/>
        </w:rPr>
        <w:t>Tabela de apoio: `tabela_mapa_nascidos_vivos_2025.csv`</w:t>
      </w:r>
    </w:p>
    <w:p>
      <w:pPr>
        <w:pStyle w:val="Heading1"/>
      </w:pPr>
      <w:r>
        <w:t>🎯 Prioridade (sem secundário)</w:t>
      </w:r>
    </w:p>
    <w:p>
      <w:pPr>
        <w:pStyle w:val="Heading2"/>
      </w:pPr>
      <w:r>
        <w:t>Principais achados — Prioridade  ⬜</w:t>
      </w:r>
    </w:p>
    <w:p>
      <w:r>
        <w:rPr>
          <w:i/>
        </w:rPr>
        <w:t>Uma frase por linha (Shift+Enter entre as frases).</w:t>
      </w:r>
    </w:p>
    <w:p>
      <w:bookmarkStart w:id="14"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14"/>
    </w:p>
    <w:p>
      <w:pPr>
        <w:pStyle w:val="Heading2"/>
      </w:pPr>
      <w:r>
        <w:t>Introdução do eixo — Prioridade  ⬜</w:t>
      </w:r>
    </w:p>
    <w:p>
      <w:bookmarkStart w:id="15" w:name="introducao_prioridade"/>
      <w:r>
        <w:t>Voluptas quibusdam in dignissim consequuntur ipsum incididunt debitis eget malesuada justo proident ac ut sed maiores in facere dolor anim orci tristique pariatur molestie sapiente turpis lorem vitae diam dolor justo ab netus adipiscing lorem illo saepe fringilla diam porta autem commodo ipsam itaque potenti vel reiciendis in lobortis fugiat massa quasi dolore eum sapien eleifend fermentum faucibus saepe et pharetra ipsum laboriosam accusantium orci debitis aut feugiat a adipisci repudiandae quis laboriosam ut eget exercitationem fringilla venenatis voluptate nonummy dictum velit laudantium sequi omnis varius labore arcu mauris ea.</w:t>
      </w:r>
      <w:bookmarkEnd w:id="15"/>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6"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6"/>
    </w:p>
    <w:p>
      <w:pPr>
        <w:pStyle w:val="Heading3"/>
      </w:pPr>
      <w:r>
        <w:t>Mapa taxa mortalidade precoce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7"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7"/>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9629"/>
                    </a:xfrm>
                    <a:prstGeom prst="rect"/>
                  </pic:spPr>
                </pic:pic>
              </a:graphicData>
            </a:graphic>
          </wp:inline>
        </w:drawing>
      </w:r>
    </w:p>
    <w:p>
      <w:bookmarkStart w:id="18"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8"/>
    </w:p>
    <w:p>
      <w:pPr>
        <w:pStyle w:val="Heading3"/>
      </w:pPr>
      <w:r>
        <w:t>Mapa taxa obitos tardios bairro 2025  ✅</w:t>
      </w:r>
    </w:p>
    <w:p>
      <w:r>
        <w:drawing>
          <wp:inline xmlns:a="http://schemas.openxmlformats.org/drawingml/2006/main" xmlns:pic="http://schemas.openxmlformats.org/drawingml/2006/picture">
            <wp:extent cx="5029200" cy="3439973"/>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39973"/>
                    </a:xfrm>
                    <a:prstGeom prst="rect"/>
                  </pic:spPr>
                </pic:pic>
              </a:graphicData>
            </a:graphic>
          </wp:inline>
        </w:drawing>
      </w:r>
    </w:p>
    <w:p>
      <w:bookmarkStart w:id="19"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9"/>
    </w:p>
    <w:p>
      <w:r>
        <w:rPr>
          <w:i/>
        </w:rPr>
        <w:t>Tabela de apoio: `mortalidade_neonatal_tardia_por_ano.csv`, `mortalidade_neonatal_tardia_bairro_ano.csv`, `tabela_mapa_obitos_neonatal_tardia_2025.csv`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24658"/>
                    </a:xfrm>
                    <a:prstGeom prst="rect"/>
                  </pic:spPr>
                </pic:pic>
              </a:graphicData>
            </a:graphic>
          </wp:inline>
        </w:drawing>
      </w:r>
    </w:p>
    <w:p>
      <w:bookmarkStart w:id="20" w:name="taxa_mortalidade_infantil_ano"/>
      <w:r>
        <w:t>A série histórica apresenta oscilações entre 2006 e 2025, com redução até 2017, quando atingiu 11,26 óbitos por mil nascidos vivos. A partir de 2018, observa-se uma retomada gradual, chegando a 13,03 em 2024 e 13,06 em 2025. A comparação ao longo do período permite identificar mudanças no comportamento do indicador e relacioná-las às variações no número de óbitos e de nascidos vivos. A trajetória também pode ser analisada em conjunto com os diferentes componentes da mortalidade na primeira infância.</w:t>
      </w:r>
      <w:bookmarkEnd w:id="20"/>
    </w:p>
    <w:p>
      <w:pPr>
        <w:pStyle w:val="Heading3"/>
      </w:pPr>
      <w:r>
        <w:t>Taxa mortalidade pos neonatal ano  ✅</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19629"/>
                    </a:xfrm>
                    <a:prstGeom prst="rect"/>
                  </pic:spPr>
                </pic:pic>
              </a:graphicData>
            </a:graphic>
          </wp:inline>
        </w:drawing>
      </w:r>
    </w:p>
    <w:p>
      <w:bookmarkStart w:id="21" w:name="taxa_mortalidade_pos_neonatal_ano"/>
      <w:r>
        <w:t>Ao longo da série, o indicador apresenta oscilações, com valores mais elevados no início do período e redução até 2020, quando atingiu 3,70 óbitos por mil nascidos vivos. A partir de 2021, observa-se retomada dos valores, chegando a 4,65 em 2024 e 4,48 em 2025. A comparação entre os anos permite identificar mudanças no comportamento desse componente da mortalidade infantil e verificar como sua trajetória se relaciona às variações observadas na taxa de mortalidade infantil total.</w:t>
      </w:r>
      <w:bookmarkEnd w:id="21"/>
    </w:p>
    <w:p>
      <w:pPr>
        <w:pStyle w:val="Heading3"/>
      </w:pPr>
      <w:r>
        <w:t>Mapa taxa mortalidade pos neonatal bairro 2025  ✅</w:t>
      </w:r>
    </w:p>
    <w:p>
      <w:r>
        <w:drawing>
          <wp:inline xmlns:a="http://schemas.openxmlformats.org/drawingml/2006/main" xmlns:pic="http://schemas.openxmlformats.org/drawingml/2006/picture">
            <wp:extent cx="5029200" cy="343997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439973"/>
                    </a:xfrm>
                    <a:prstGeom prst="rect"/>
                  </pic:spPr>
                </pic:pic>
              </a:graphicData>
            </a:graphic>
          </wp:inline>
        </w:drawing>
      </w:r>
    </w:p>
    <w:p>
      <w:bookmarkStart w:id="22" w:name="mapa_taxa_mortalidade_pos_neonat_26adf955"/>
      <w:r>
        <w:t>A taxa permite comparar os bairros considerando o número de nascidos vivos de cada território. Em 2025, os maiores valores ocorreram em Cidade Nova (47,62 por mil), Camorim (28,57) e Pitangueiras (26,32). Esses valores correspondem a poucos registros de óbitos: 2 em Cidade Nova, 1 em Camorim e 2 em Pitangueiras. A leitura conjunta da taxa com o número de óbitos e de nascidos vivos é importante para contextualizar as diferenças entre os territórios, especialmente nos bairros com menor número de nascimentos.</w:t>
      </w:r>
      <w:bookmarkEnd w:id="22"/>
    </w:p>
    <w:p>
      <w:r>
        <w:rPr>
          <w:i/>
        </w:rPr>
        <w:t>Tabela de apoio: `mortalidade_infantil_pos_neonatal_total_por_ano.csv`, `mortalidade_infantil_pos_neonatal_total_bairro_ano.csv`, `tabela_mapa_mortalidade_infantil_2025.csv`</w:t>
      </w:r>
    </w:p>
    <w:p>
      <w:pPr>
        <w:pStyle w:val="Heading2"/>
      </w:pPr>
      <w:r>
        <w:t>Óbitos maternos durante a gravidez  ✅</w:t>
      </w:r>
    </w:p>
    <w:p>
      <w:pPr>
        <w:pStyle w:val="Heading3"/>
      </w:pPr>
      <w:r>
        <w:t>Obitos gravidez por ano  ✅</w:t>
      </w:r>
    </w:p>
    <w:p>
      <w:r>
        <w:drawing>
          <wp:inline xmlns:a="http://schemas.openxmlformats.org/drawingml/2006/main" xmlns:pic="http://schemas.openxmlformats.org/drawingml/2006/picture">
            <wp:extent cx="5029200" cy="2524658"/>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24658"/>
                    </a:xfrm>
                    <a:prstGeom prst="rect"/>
                  </pic:spPr>
                </pic:pic>
              </a:graphicData>
            </a:graphic>
          </wp:inline>
        </w:drawing>
      </w:r>
    </w:p>
    <w:p>
      <w:bookmarkStart w:id="23"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23"/>
    </w:p>
    <w:p>
      <w:r>
        <w:rPr>
          <w:i/>
        </w:rPr>
        <w:t>Tabela de apoio: `obitos_gravidez_por_ano.csv`, `obitos_gravidez_bairro_ano.csv`, `tabela_mapa_obitos_gravidez_2025.csv`</w:t>
      </w:r>
    </w:p>
    <w:p>
      <w:pPr>
        <w:pStyle w:val="Heading2"/>
      </w:pPr>
      <w:r>
        <w:t>Óbitos maternos durante o puerpério  ✅</w:t>
      </w:r>
    </w:p>
    <w:p>
      <w:pPr>
        <w:pStyle w:val="Heading3"/>
      </w:pPr>
      <w:r>
        <w:t>Obitos puerperio por ano  ✅</w:t>
      </w:r>
    </w:p>
    <w:p>
      <w:r>
        <w:drawing>
          <wp:inline xmlns:a="http://schemas.openxmlformats.org/drawingml/2006/main" xmlns:pic="http://schemas.openxmlformats.org/drawingml/2006/picture">
            <wp:extent cx="5029200" cy="2524658"/>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24658"/>
                    </a:xfrm>
                    <a:prstGeom prst="rect"/>
                  </pic:spPr>
                </pic:pic>
              </a:graphicData>
            </a:graphic>
          </wp:inline>
        </w:drawing>
      </w:r>
    </w:p>
    <w:p>
      <w:bookmarkStart w:id="24"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24"/>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5"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25"/>
    </w:p>
    <w:p>
      <w:pPr>
        <w:pStyle w:val="Heading3"/>
      </w:pPr>
      <w:r>
        <w:t>Percentual mortalidade raca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6" w:name="percentual_mortalidade_raca_ano"/>
      <w:r>
        <w:t>A relação entre óbitos e nascidos vivos evidencia diferenças na mortalidade infantil que não aparecem apenas na contagem absoluta. Entre 2011 e 2025, as taxas de crianças brancas e pardas permaneceram próximas, variando de 17,6 a 11,3 e de 19,8 a 14,3 óbitos por mil nascidos vivos, respectivamente. Para crianças pretas, a taxa variou entre 5,0 e 14,3 por mil, enquanto a categoria amarela e indígena, agrupada por ter poucos registros, apresenta oscilações maiores associadas ao pequeno número de casos. A categoria “não informada” aparece só no gráfico de óbitos: a razão entre óbitos e nascidos sem raça/cor informada não é uma taxa comparável às demais. Essas características devem ser consideradas em comparações entre os grupos e na análise da série histórica.</w:t>
      </w:r>
      <w:bookmarkEnd w:id="26"/>
    </w:p>
    <w:p>
      <w:pPr>
        <w:pStyle w:val="Heading3"/>
      </w:pPr>
      <w:r>
        <w:t>Mapa taxa obitos raca total bairro 2025  ✏️</w:t>
      </w:r>
    </w:p>
    <w:p>
      <w:r>
        <w:drawing>
          <wp:inline xmlns:a="http://schemas.openxmlformats.org/drawingml/2006/main" xmlns:pic="http://schemas.openxmlformats.org/drawingml/2006/picture">
            <wp:extent cx="5029200" cy="3439973"/>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439973"/>
                    </a:xfrm>
                    <a:prstGeom prst="rect"/>
                  </pic:spPr>
                </pic:pic>
              </a:graphicData>
            </a:graphic>
          </wp:inline>
        </w:drawing>
      </w:r>
    </w:p>
    <w:p>
      <w:bookmarkStart w:id="27" w:name="mapa_taxa_obitos_raca_total_bairro_2025"/>
      <w:r>
        <w:t>A taxa de mortalidade infantil permite comparar os bairros considerando a relação entre os óbitos e os nascidos vivos de cada território. Em 2025, Cidade Nova e Gericinó apresentaram a maior taxa registrada, de 71,4 óbitos por mil nascidos vivos, mas com números diferentes de óbitos e nascidos vivos: 3 óbitos entre 42 nascidos vivos em Cidade Nova e 1 entre 14 em Gericinó. Cidade Universitária apresentou 58,8 por mil, com 1 óbito entre 17 nascidos vivos. A comparação entre taxa, número de óbitos e nascidos vivos permite qualificar a leitura das diferenças territoriais e serve de base para relacionar o indicador a outros recortes da mortalidade infantil.</w:t>
      </w:r>
      <w:bookmarkEnd w:id="27"/>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8"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8"/>
    </w:p>
    <w:p>
      <w:pPr>
        <w:pStyle w:val="Heading3"/>
      </w:pPr>
      <w:r>
        <w:t>Obitos evitaveis cap menores 1 ano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9"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9"/>
    </w:p>
    <w:p>
      <w:pPr>
        <w:pStyle w:val="Heading3"/>
      </w:pPr>
      <w:r>
        <w:t>Obitos evitaveis cap 1 a 4 anos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30"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30"/>
    </w:p>
    <w:p>
      <w:pPr>
        <w:pStyle w:val="Heading3"/>
      </w:pPr>
      <w:r>
        <w:t>Obitos evitaveis cap menores 5 anos ano  ✅</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31"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31"/>
    </w:p>
    <w:p>
      <w:pPr>
        <w:pStyle w:val="Heading3"/>
      </w:pPr>
      <w:r>
        <w:t>Percentual evitaveis cap menores 1 ano ano  ✅</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32"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32"/>
    </w:p>
    <w:p>
      <w:pPr>
        <w:pStyle w:val="Heading3"/>
      </w:pPr>
      <w:r>
        <w:t>Percentual evitaveis cap 1 a 4 anos ano  ✅</w:t>
      </w:r>
    </w:p>
    <w:p>
      <w:r>
        <w:drawing>
          <wp:inline xmlns:a="http://schemas.openxmlformats.org/drawingml/2006/main" xmlns:pic="http://schemas.openxmlformats.org/drawingml/2006/picture">
            <wp:extent cx="5029200" cy="2519629"/>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519629"/>
                    </a:xfrm>
                    <a:prstGeom prst="rect"/>
                  </pic:spPr>
                </pic:pic>
              </a:graphicData>
            </a:graphic>
          </wp:inline>
        </w:drawing>
      </w:r>
    </w:p>
    <w:p>
      <w:bookmarkStart w:id="33"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33"/>
    </w:p>
    <w:p>
      <w:pPr>
        <w:pStyle w:val="Heading3"/>
      </w:pPr>
      <w:r>
        <w:t>Percentual evitaveis cap menores 5 anos ano  ✅</w:t>
      </w:r>
    </w:p>
    <w:p>
      <w:r>
        <w:drawing>
          <wp:inline xmlns:a="http://schemas.openxmlformats.org/drawingml/2006/main" xmlns:pic="http://schemas.openxmlformats.org/drawingml/2006/picture">
            <wp:extent cx="5029200" cy="2519629"/>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2519629"/>
                    </a:xfrm>
                    <a:prstGeom prst="rect"/>
                  </pic:spPr>
                </pic:pic>
              </a:graphicData>
            </a:graphic>
          </wp:inline>
        </w:drawing>
      </w:r>
    </w:p>
    <w:p>
      <w:bookmarkStart w:id="34"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34"/>
    </w:p>
    <w:p>
      <w:pPr>
        <w:pStyle w:val="Heading3"/>
      </w:pPr>
      <w:r>
        <w:t>Taxa mortalidade evitaveis menores 5 ano  ✅</w:t>
      </w:r>
    </w:p>
    <w:p>
      <w:r>
        <w:drawing>
          <wp:inline xmlns:a="http://schemas.openxmlformats.org/drawingml/2006/main" xmlns:pic="http://schemas.openxmlformats.org/drawingml/2006/picture">
            <wp:extent cx="5029200" cy="2519629"/>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2519629"/>
                    </a:xfrm>
                    <a:prstGeom prst="rect"/>
                  </pic:spPr>
                </pic:pic>
              </a:graphicData>
            </a:graphic>
          </wp:inline>
        </w:drawing>
      </w:r>
    </w:p>
    <w:p>
      <w:bookmarkStart w:id="35"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35"/>
    </w:p>
    <w:p>
      <w:pPr>
        <w:pStyle w:val="Heading3"/>
      </w:pPr>
      <w:r>
        <w:t>Mapa obitos evitaveis menores 1 ano cap 2025  ✅</w:t>
      </w:r>
    </w:p>
    <w:p>
      <w:r>
        <w:drawing>
          <wp:inline xmlns:a="http://schemas.openxmlformats.org/drawingml/2006/main" xmlns:pic="http://schemas.openxmlformats.org/drawingml/2006/picture">
            <wp:extent cx="5029200" cy="3470148"/>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470148"/>
                    </a:xfrm>
                    <a:prstGeom prst="rect"/>
                  </pic:spPr>
                </pic:pic>
              </a:graphicData>
            </a:graphic>
          </wp:inline>
        </w:drawing>
      </w:r>
    </w:p>
    <w:p>
      <w:bookmarkStart w:id="36"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6"/>
    </w:p>
    <w:p>
      <w:pPr>
        <w:pStyle w:val="Heading3"/>
      </w:pPr>
      <w:r>
        <w:t>Mapa obitos evitaveis 1 a 4 anos cap 2025  ✅</w:t>
      </w:r>
    </w:p>
    <w:p>
      <w:r>
        <w:drawing>
          <wp:inline xmlns:a="http://schemas.openxmlformats.org/drawingml/2006/main" xmlns:pic="http://schemas.openxmlformats.org/drawingml/2006/picture">
            <wp:extent cx="5029200" cy="3470148"/>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470148"/>
                    </a:xfrm>
                    <a:prstGeom prst="rect"/>
                  </pic:spPr>
                </pic:pic>
              </a:graphicData>
            </a:graphic>
          </wp:inline>
        </w:drawing>
      </w:r>
    </w:p>
    <w:p>
      <w:bookmarkStart w:id="37"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7"/>
    </w:p>
    <w:p>
      <w:pPr>
        <w:pStyle w:val="Heading3"/>
      </w:pPr>
      <w:r>
        <w:t>Mapa obitos evitaveis menores 5 anos cap 2025  ✅</w:t>
      </w:r>
    </w:p>
    <w:p>
      <w:r>
        <w:drawing>
          <wp:inline xmlns:a="http://schemas.openxmlformats.org/drawingml/2006/main" xmlns:pic="http://schemas.openxmlformats.org/drawingml/2006/picture">
            <wp:extent cx="5029200" cy="3470148"/>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470148"/>
                    </a:xfrm>
                    <a:prstGeom prst="rect"/>
                  </pic:spPr>
                </pic:pic>
              </a:graphicData>
            </a:graphic>
          </wp:inline>
        </w:drawing>
      </w:r>
    </w:p>
    <w:p>
      <w:bookmarkStart w:id="38"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8"/>
    </w:p>
    <w:p>
      <w:pPr>
        <w:pStyle w:val="Heading3"/>
      </w:pPr>
      <w:r>
        <w:t>Mapa percentual evitaveis menores 1 ano cap 2025  ✅</w:t>
      </w:r>
    </w:p>
    <w:p>
      <w:r>
        <w:drawing>
          <wp:inline xmlns:a="http://schemas.openxmlformats.org/drawingml/2006/main" xmlns:pic="http://schemas.openxmlformats.org/drawingml/2006/picture">
            <wp:extent cx="5029200" cy="3138220"/>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138220"/>
                    </a:xfrm>
                    <a:prstGeom prst="rect"/>
                  </pic:spPr>
                </pic:pic>
              </a:graphicData>
            </a:graphic>
          </wp:inline>
        </w:drawing>
      </w:r>
    </w:p>
    <w:p>
      <w:bookmarkStart w:id="39"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9"/>
    </w:p>
    <w:p>
      <w:pPr>
        <w:pStyle w:val="Heading3"/>
      </w:pPr>
      <w:r>
        <w:t>Mapa percentual evitaveis 1 a 4 anos cap 2025  ✅</w:t>
      </w:r>
    </w:p>
    <w:p>
      <w:r>
        <w:drawing>
          <wp:inline xmlns:a="http://schemas.openxmlformats.org/drawingml/2006/main" xmlns:pic="http://schemas.openxmlformats.org/drawingml/2006/picture">
            <wp:extent cx="5029200" cy="3304184"/>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304184"/>
                    </a:xfrm>
                    <a:prstGeom prst="rect"/>
                  </pic:spPr>
                </pic:pic>
              </a:graphicData>
            </a:graphic>
          </wp:inline>
        </w:drawing>
      </w:r>
    </w:p>
    <w:p>
      <w:bookmarkStart w:id="40"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40"/>
    </w:p>
    <w:p>
      <w:pPr>
        <w:pStyle w:val="Heading3"/>
      </w:pPr>
      <w:r>
        <w:t>Mapa percentual evitaveis menores 5 anos cap 2025  ✅</w:t>
      </w:r>
    </w:p>
    <w:p>
      <w:r>
        <w:drawing>
          <wp:inline xmlns:a="http://schemas.openxmlformats.org/drawingml/2006/main" xmlns:pic="http://schemas.openxmlformats.org/drawingml/2006/picture">
            <wp:extent cx="5029200" cy="3108046"/>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108046"/>
                    </a:xfrm>
                    <a:prstGeom prst="rect"/>
                  </pic:spPr>
                </pic:pic>
              </a:graphicData>
            </a:graphic>
          </wp:inline>
        </w:drawing>
      </w:r>
    </w:p>
    <w:p>
      <w:bookmarkStart w:id="41"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41"/>
    </w:p>
    <w:p>
      <w:r>
        <w:rPr>
          <w:i/>
        </w:rPr>
        <w:t>Tabela de apoio: `mortalidade_evitaveis_cap_faixa_ano.csv`, `mortalidade_evitaveis_cap_2025.csv`, `taxa_mortalidade_evitaveis_menores_5_municipio_ano.csv`</w:t>
      </w:r>
    </w:p>
    <w:p>
      <w:pPr>
        <w:pStyle w:val="Heading2"/>
      </w:pPr>
      <w:r>
        <w:t>Mortalidade infantil por causas evitáveis, por tipo de causa (grupo/subgrupo CID-10)  ✏️ ⚠️</w:t>
      </w:r>
    </w:p>
    <w:p>
      <w:pPr>
        <w:pStyle w:val="Heading3"/>
      </w:pPr>
      <w:r>
        <w:t>Obitos causas evitaveis 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2"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2"/>
    </w:p>
    <w:p>
      <w:pPr>
        <w:pStyle w:val="Heading3"/>
      </w:pPr>
      <w:r>
        <w:t>Obitos causas evitaveis subgrupo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3"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3"/>
    </w:p>
    <w:p>
      <w:pPr>
        <w:pStyle w:val="Heading3"/>
      </w:pPr>
      <w:r>
        <w:t>Obitos causas evitaveis 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4"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4"/>
    </w:p>
    <w:p>
      <w:pPr>
        <w:pStyle w:val="Heading3"/>
      </w:pPr>
      <w:r>
        <w:t>Obitos causas evitaveis subgrupo 0 a 6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5"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5"/>
    </w:p>
    <w:p>
      <w:pPr>
        <w:pStyle w:val="Heading3"/>
      </w:pPr>
      <w:r>
        <w:t>Obitos causas evitaveis 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6"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6"/>
    </w:p>
    <w:p>
      <w:pPr>
        <w:pStyle w:val="Heading3"/>
      </w:pPr>
      <w:r>
        <w:t>Obitos causas evitaveis subgrupo 7 a 27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7"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apresentaram valores mais abaixos.</w:t>
      </w:r>
      <w:bookmarkEnd w:id="47"/>
    </w:p>
    <w:p>
      <w:pPr>
        <w:pStyle w:val="Heading3"/>
      </w:pPr>
      <w:r>
        <w:t>Obitos causas evitaveis 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8"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48"/>
    </w:p>
    <w:p>
      <w:pPr>
        <w:pStyle w:val="Heading3"/>
      </w:pPr>
      <w:r>
        <w:t>Obitos causas evitaveis subgrupo 28 a 364 dias ano  ✅</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9"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49"/>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937053"/>
                    </a:xfrm>
                    <a:prstGeom prst="rect"/>
                  </pic:spPr>
                </pic:pic>
              </a:graphicData>
            </a:graphic>
          </wp:inline>
        </w:drawing>
      </w:r>
    </w:p>
    <w:p>
      <w:bookmarkStart w:id="50" w:name="obitos_causas_evitaveis_subgrupo_ece0de7d"/>
      <w:r>
        <w:t>Em 2025, a distribuição das causas evitáveis varia de forma importante entre as faixas etárias. Nos primeiros dias de vida, predominam os óbitos relacionados à atenção à mulher na gestação, com 183 registros entre 0 e 6 dias e 64 entre 7 e 27 dias. Já entre 28 e 364 dias, ganham maior peso as causas reduzíveis por ações de promoção vinculadas às ações de atenção, com 56 óbitos, e por diagnóstico e tratamento adequado, com 43 registros.</w:t>
        <w:br/>
        <w:t>O gráfico evidencia, portanto, uma mudança no perfil das causas evitáveis conforme a idade da criança: no período neonatal, destacam-se fatores ligados à gestação, parto e atenção ao recém-nascido, enquanto após os 28 aumentam relativamente às causas relacionadas à promoção, diagnóstico e tratamento.</w:t>
      </w:r>
      <w:bookmarkEnd w:id="50"/>
    </w:p>
    <w:p>
      <w:pPr>
        <w:pStyle w:val="Heading3"/>
      </w:pPr>
      <w:r>
        <w:t>Obitos evitaveis menores 1 ano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1" w:name="obitos_evitaveis_menores_1_ano_s_7e727f08"/>
      <w:r>
        <w:t>Entre 2006 e 2025, os óbitos de menores de 1 ano apresentaram redução na maior parte dos subgrupos analisados. As causas reduzíveis por atenção a mulher na gestação permaneceram como principal componente, atingindo pico de 389 óbitos em 2013 e chegando a 264 em 2025. Também se destaca a queda dos óbitos relacionados a atenção do recém-nascido, de 195 para 55 no período. Em 2025, as demais causas não claramente evitáveis aparecem como o segundo maior grupo, com 218 registros, enquanto os demais subgrupos apresentam quantitativos inferiores.</w:t>
      </w:r>
      <w:bookmarkEnd w:id="51"/>
    </w:p>
    <w:p>
      <w:pPr>
        <w:pStyle w:val="Heading3"/>
      </w:pPr>
      <w:r>
        <w:t>Obitos evitaveis 1 a 4 anos subgrupo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2" w:name="obitos_evitaveis_1_a_4_anos_subgrupo_ano"/>
      <w:r>
        <w:t>Entre 2006 e 2025, os óbitos de crianças de 1 a 4 anos apresentaram oscilações, mas com redução em vários subgrupos. As demais causas não claramente evitáveis permaneceram como principal componente, chegando a 59 registros em 2025. No mesmo ano, as causas reduzíveis por ações de promoção vinculadas a atenção somaram 34 óbitos, enquanto aquelas relacionadas ao diagnóstico e tratamento adequado registraram 29. As causas mal definidas apresentaram forte redução ao longo do período, chegando a 7 registros em 2025.</w:t>
      </w:r>
      <w:bookmarkEnd w:id="52"/>
    </w:p>
    <w:p>
      <w:pPr>
        <w:pStyle w:val="Heading3"/>
      </w:pPr>
      <w:r>
        <w:t>Obitos evitaveis menores 5 subgrupo ano  ✏️ ⚠️</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3" w:name="obitos_evitaveis_menores_5_subgrupo_ano"/>
      <w:r>
        <w:t>Entre 2006 e 2025, os óbitos de menores de 5 anos apresentaram tendência geral de redução. As demais causas não claramente evitáveis permaneceram entre os principais componentes, chegando a 277 registros em 2025. Entre as causas evitáveis, destacam-se aquelas relacionadas à atenção à mulher na gestação, que atingiram 266 óbitos em 2025. Também houve redução importante nos óbitos relacionados à atenção ao recém-nascido, que passaram de 198 em 2006 para 55 em 2025, enquanto as causas mal definidas recuaram para 22 registros.</w:t>
      </w:r>
      <w:bookmarkEnd w:id="53"/>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n</w:t>
      </w:r>
    </w:p>
    <w:p>
      <w:r>
        <w:rPr>
          <w:i/>
          <w:color w:val="B03A2E"/>
          <w:sz w:val="18"/>
        </w:rPr>
        <w:t>⚠️ ú</w:t>
      </w:r>
    </w:p>
    <w:p>
      <w:r>
        <w:rPr>
          <w:i/>
          <w:color w:val="B03A2E"/>
          <w:sz w:val="18"/>
        </w:rPr>
        <w:t>⚠️ m</w:t>
      </w:r>
    </w:p>
    <w:p>
      <w:r>
        <w:rPr>
          <w:i/>
          <w:color w:val="B03A2E"/>
          <w:sz w:val="18"/>
        </w:rPr>
        <w:t>⚠️ e</w:t>
      </w:r>
    </w:p>
    <w:p>
      <w:r>
        <w:rPr>
          <w:i/>
          <w:color w:val="B03A2E"/>
          <w:sz w:val="18"/>
        </w:rPr>
        <w:t>⚠️ r</w:t>
      </w:r>
    </w:p>
    <w:p>
      <w:r>
        <w:rPr>
          <w:i/>
          <w:color w:val="B03A2E"/>
          <w:sz w:val="18"/>
        </w:rPr>
        <w:t>⚠️ o</w:t>
      </w:r>
    </w:p>
    <w:p>
      <w:r>
        <w:rPr>
          <w:i/>
          <w:color w:val="B03A2E"/>
          <w:sz w:val="18"/>
        </w:rPr>
        <w:t>⚠️ :</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i</w:t>
      </w:r>
    </w:p>
    <w:p>
      <w:r>
        <w:rPr>
          <w:i/>
          <w:color w:val="B03A2E"/>
          <w:sz w:val="18"/>
        </w:rPr>
        <w:t>⚠️ z</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ó</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a</w:t>
      </w:r>
    </w:p>
    <w:p>
      <w:r>
        <w:rPr>
          <w:i/>
          <w:color w:val="B03A2E"/>
          <w:sz w:val="18"/>
        </w:rPr>
        <w:t>⚠️ t</w:t>
      </w:r>
    </w:p>
    <w:p>
      <w:r>
        <w:rPr>
          <w:i/>
          <w:color w:val="B03A2E"/>
          <w:sz w:val="18"/>
        </w:rPr>
        <w:t>⚠️ e</w:t>
      </w:r>
    </w:p>
    <w:p>
      <w:r>
        <w:rPr>
          <w:i/>
          <w:color w:val="B03A2E"/>
          <w:sz w:val="18"/>
        </w:rPr>
        <w:t>⚠️ n</w:t>
      </w:r>
    </w:p>
    <w:p>
      <w:r>
        <w:rPr>
          <w:i/>
          <w:color w:val="B03A2E"/>
          <w:sz w:val="18"/>
        </w:rPr>
        <w:t>⚠️ ç</w:t>
      </w:r>
    </w:p>
    <w:p>
      <w:r>
        <w:rPr>
          <w:i/>
          <w:color w:val="B03A2E"/>
          <w:sz w:val="18"/>
        </w:rPr>
        <w:t>⚠️ ã</w:t>
      </w:r>
    </w:p>
    <w:p>
      <w:r>
        <w:rPr>
          <w:i/>
          <w:color w:val="B03A2E"/>
          <w:sz w:val="18"/>
        </w:rPr>
        <w:t>⚠️ o</w:t>
      </w:r>
    </w:p>
    <w:p>
      <w:r>
        <w:rPr>
          <w:i/>
          <w:color w:val="B03A2E"/>
          <w:sz w:val="18"/>
        </w:rPr>
        <w:t xml:space="preserve">⚠️  </w:t>
      </w:r>
    </w:p>
    <w:p>
      <w:r>
        <w:rPr>
          <w:i/>
          <w:color w:val="B03A2E"/>
          <w:sz w:val="18"/>
        </w:rPr>
        <w:t>⚠️ a</w:t>
      </w:r>
    </w:p>
    <w:p>
      <w:r>
        <w:rPr>
          <w:i/>
          <w:color w:val="B03A2E"/>
          <w:sz w:val="18"/>
        </w:rPr>
        <w:t>⚠️ o</w:t>
      </w:r>
    </w:p>
    <w:p>
      <w:r>
        <w:rPr>
          <w:i/>
          <w:color w:val="B03A2E"/>
          <w:sz w:val="18"/>
        </w:rPr>
        <w:t xml:space="preserve">⚠️  </w:t>
      </w:r>
    </w:p>
    <w:p>
      <w:r>
        <w:rPr>
          <w:i/>
          <w:color w:val="B03A2E"/>
          <w:sz w:val="18"/>
        </w:rPr>
        <w:t>⚠️ r</w:t>
      </w:r>
    </w:p>
    <w:p>
      <w:r>
        <w:rPr>
          <w:i/>
          <w:color w:val="B03A2E"/>
          <w:sz w:val="18"/>
        </w:rPr>
        <w:t>⚠️ e</w:t>
      </w:r>
    </w:p>
    <w:p>
      <w:r>
        <w:rPr>
          <w:i/>
          <w:color w:val="B03A2E"/>
          <w:sz w:val="18"/>
        </w:rPr>
        <w:t>⚠️ c</w:t>
      </w:r>
    </w:p>
    <w:p>
      <w:r>
        <w:rPr>
          <w:i/>
          <w:color w:val="B03A2E"/>
          <w:sz w:val="18"/>
        </w:rPr>
        <w:t>⚠️ é</w:t>
      </w:r>
    </w:p>
    <w:p>
      <w:r>
        <w:rPr>
          <w:i/>
          <w:color w:val="B03A2E"/>
          <w:sz w:val="18"/>
        </w:rPr>
        <w:t>⚠️ m</w:t>
      </w:r>
    </w:p>
    <w:p>
      <w:r>
        <w:rPr>
          <w:i/>
          <w:color w:val="B03A2E"/>
          <w:sz w:val="18"/>
        </w:rPr>
        <w:t>⚠️ -</w:t>
      </w:r>
    </w:p>
    <w:p>
      <w:r>
        <w:rPr>
          <w:i/>
          <w:color w:val="B03A2E"/>
          <w:sz w:val="18"/>
        </w:rPr>
        <w:t>⚠️ n</w:t>
      </w:r>
    </w:p>
    <w:p>
      <w:r>
        <w:rPr>
          <w:i/>
          <w:color w:val="B03A2E"/>
          <w:sz w:val="18"/>
        </w:rPr>
        <w:t>⚠️ a</w:t>
      </w:r>
    </w:p>
    <w:p>
      <w:r>
        <w:rPr>
          <w:i/>
          <w:color w:val="B03A2E"/>
          <w:sz w:val="18"/>
        </w:rPr>
        <w:t>⚠️ s</w:t>
      </w:r>
    </w:p>
    <w:p>
      <w:r>
        <w:rPr>
          <w:i/>
          <w:color w:val="B03A2E"/>
          <w:sz w:val="18"/>
        </w:rPr>
        <w:t>⚠️ c</w:t>
      </w:r>
    </w:p>
    <w:p>
      <w:r>
        <w:rPr>
          <w:i/>
          <w:color w:val="B03A2E"/>
          <w:sz w:val="18"/>
        </w:rPr>
        <w:t>⚠️ i</w:t>
      </w:r>
    </w:p>
    <w:p>
      <w:r>
        <w:rPr>
          <w:i/>
          <w:color w:val="B03A2E"/>
          <w:sz w:val="18"/>
        </w:rPr>
        <w:t>⚠️ d</w:t>
      </w:r>
    </w:p>
    <w:p>
      <w:r>
        <w:rPr>
          <w:i/>
          <w:color w:val="B03A2E"/>
          <w:sz w:val="18"/>
        </w:rPr>
        <w:t>⚠️ o</w:t>
      </w:r>
    </w:p>
    <w:p>
      <w:r>
        <w:rPr>
          <w:i/>
          <w:color w:val="B03A2E"/>
          <w:sz w:val="18"/>
        </w:rPr>
        <w:t xml:space="preserve">⚠️  </w:t>
      </w:r>
    </w:p>
    <w:p>
      <w:r>
        <w:rPr>
          <w:i/>
          <w:color w:val="B03A2E"/>
          <w:sz w:val="18"/>
        </w:rPr>
        <w:t>⚠️ p</w:t>
      </w:r>
    </w:p>
    <w:p>
      <w:r>
        <w:rPr>
          <w:i/>
          <w:color w:val="B03A2E"/>
          <w:sz w:val="18"/>
        </w:rPr>
        <w:t>⚠️ a</w:t>
      </w:r>
    </w:p>
    <w:p>
      <w:r>
        <w:rPr>
          <w:i/>
          <w:color w:val="B03A2E"/>
          <w:sz w:val="18"/>
        </w:rPr>
        <w:t>⚠️ s</w:t>
      </w:r>
    </w:p>
    <w:p>
      <w:r>
        <w:rPr>
          <w:i/>
          <w:color w:val="B03A2E"/>
          <w:sz w:val="18"/>
        </w:rPr>
        <w:t>⚠️ s</w:t>
      </w:r>
    </w:p>
    <w:p>
      <w:r>
        <w:rPr>
          <w:i/>
          <w:color w:val="B03A2E"/>
          <w:sz w:val="18"/>
        </w:rPr>
        <w:t>⚠️ a</w:t>
      </w:r>
    </w:p>
    <w:p>
      <w:r>
        <w:rPr>
          <w:i/>
          <w:color w:val="B03A2E"/>
          <w:sz w:val="18"/>
        </w:rPr>
        <w:t>⚠️ r</w:t>
      </w:r>
    </w:p>
    <w:p>
      <w:r>
        <w:rPr>
          <w:i/>
          <w:color w:val="B03A2E"/>
          <w:sz w:val="18"/>
        </w:rPr>
        <w:t>⚠️ a</w:t>
      </w:r>
    </w:p>
    <w:p>
      <w:r>
        <w:rPr>
          <w:i/>
          <w:color w:val="B03A2E"/>
          <w:sz w:val="18"/>
        </w:rPr>
        <w:t>⚠️ m</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1</w:t>
      </w:r>
    </w:p>
    <w:p>
      <w:r>
        <w:rPr>
          <w:i/>
          <w:color w:val="B03A2E"/>
          <w:sz w:val="18"/>
        </w:rPr>
        <w:t>⚠️ 9</w:t>
      </w:r>
    </w:p>
    <w:p>
      <w:r>
        <w:rPr>
          <w:i/>
          <w:color w:val="B03A2E"/>
          <w:sz w:val="18"/>
        </w:rPr>
        <w:t>⚠️ 8</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a</w:t>
      </w:r>
    </w:p>
    <w:p>
      <w:r>
        <w:rPr>
          <w:i/>
          <w:color w:val="B03A2E"/>
          <w:sz w:val="18"/>
        </w:rPr>
        <w:t xml:space="preserve">⚠️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o</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_</w:t>
      </w:r>
    </w:p>
    <w:p>
      <w:r>
        <w:rPr>
          <w:i/>
          <w:color w:val="B03A2E"/>
          <w:sz w:val="18"/>
        </w:rPr>
        <w:t>⚠️ e</w:t>
      </w:r>
    </w:p>
    <w:p>
      <w:r>
        <w:rPr>
          <w:i/>
          <w:color w:val="B03A2E"/>
          <w:sz w:val="18"/>
        </w:rPr>
        <w:t>⚠️ v</w:t>
      </w:r>
    </w:p>
    <w:p>
      <w:r>
        <w:rPr>
          <w:i/>
          <w:color w:val="B03A2E"/>
          <w:sz w:val="18"/>
        </w:rPr>
        <w:t>⚠️ i</w:t>
      </w:r>
    </w:p>
    <w:p>
      <w:r>
        <w:rPr>
          <w:i/>
          <w:color w:val="B03A2E"/>
          <w:sz w:val="18"/>
        </w:rPr>
        <w:t>⚠️ t</w:t>
      </w:r>
    </w:p>
    <w:p>
      <w:r>
        <w:rPr>
          <w:i/>
          <w:color w:val="B03A2E"/>
          <w:sz w:val="18"/>
        </w:rPr>
        <w:t>⚠️ a</w:t>
      </w:r>
    </w:p>
    <w:p>
      <w:r>
        <w:rPr>
          <w:i/>
          <w:color w:val="B03A2E"/>
          <w:sz w:val="18"/>
        </w:rPr>
        <w:t>⚠️ v</w:t>
      </w:r>
    </w:p>
    <w:p>
      <w:r>
        <w:rPr>
          <w:i/>
          <w:color w:val="B03A2E"/>
          <w:sz w:val="18"/>
        </w:rPr>
        <w:t>⚠️ e</w:t>
      </w:r>
    </w:p>
    <w:p>
      <w:r>
        <w:rPr>
          <w:i/>
          <w:color w:val="B03A2E"/>
          <w:sz w:val="18"/>
        </w:rPr>
        <w:t>⚠️ i</w:t>
      </w:r>
    </w:p>
    <w:p>
      <w:r>
        <w:rPr>
          <w:i/>
          <w:color w:val="B03A2E"/>
          <w:sz w:val="18"/>
        </w:rPr>
        <w:t>⚠️ s</w:t>
      </w:r>
    </w:p>
    <w:p>
      <w:r>
        <w:rPr>
          <w:i/>
          <w:color w:val="B03A2E"/>
          <w:sz w:val="18"/>
        </w:rPr>
        <w:t>⚠️ _</w:t>
      </w:r>
    </w:p>
    <w:p>
      <w:r>
        <w:rPr>
          <w:i/>
          <w:color w:val="B03A2E"/>
          <w:sz w:val="18"/>
        </w:rPr>
        <w:t>⚠️ m</w:t>
      </w:r>
    </w:p>
    <w:p>
      <w:r>
        <w:rPr>
          <w:i/>
          <w:color w:val="B03A2E"/>
          <w:sz w:val="18"/>
        </w:rPr>
        <w:t>⚠️ e</w:t>
      </w:r>
    </w:p>
    <w:p>
      <w:r>
        <w:rPr>
          <w:i/>
          <w:color w:val="B03A2E"/>
          <w:sz w:val="18"/>
        </w:rPr>
        <w:t>⚠️ n</w:t>
      </w:r>
    </w:p>
    <w:p>
      <w:r>
        <w:rPr>
          <w:i/>
          <w:color w:val="B03A2E"/>
          <w:sz w:val="18"/>
        </w:rPr>
        <w:t>⚠️ o</w:t>
      </w:r>
    </w:p>
    <w:p>
      <w:r>
        <w:rPr>
          <w:i/>
          <w:color w:val="B03A2E"/>
          <w:sz w:val="18"/>
        </w:rPr>
        <w:t>⚠️ r</w:t>
      </w:r>
    </w:p>
    <w:p>
      <w:r>
        <w:rPr>
          <w:i/>
          <w:color w:val="B03A2E"/>
          <w:sz w:val="18"/>
        </w:rPr>
        <w:t>⚠️ e</w:t>
      </w:r>
    </w:p>
    <w:p>
      <w:r>
        <w:rPr>
          <w:i/>
          <w:color w:val="B03A2E"/>
          <w:sz w:val="18"/>
        </w:rPr>
        <w:t>⚠️ s</w:t>
      </w:r>
    </w:p>
    <w:p>
      <w:r>
        <w:rPr>
          <w:i/>
          <w:color w:val="B03A2E"/>
          <w:sz w:val="18"/>
        </w:rPr>
        <w:t>⚠️ _</w:t>
      </w:r>
    </w:p>
    <w:p>
      <w:r>
        <w:rPr>
          <w:i/>
          <w:color w:val="B03A2E"/>
          <w:sz w:val="18"/>
        </w:rPr>
        <w:t>⚠️ 5</w:t>
      </w:r>
    </w:p>
    <w:p>
      <w:r>
        <w:rPr>
          <w:i/>
          <w:color w:val="B03A2E"/>
          <w:sz w:val="18"/>
        </w:rPr>
        <w:t>⚠️ _</w:t>
      </w:r>
    </w:p>
    <w:p>
      <w:r>
        <w:rPr>
          <w:i/>
          <w:color w:val="B03A2E"/>
          <w:sz w:val="18"/>
        </w:rPr>
        <w:t>⚠️ s</w:t>
      </w:r>
    </w:p>
    <w:p>
      <w:r>
        <w:rPr>
          <w:i/>
          <w:color w:val="B03A2E"/>
          <w:sz w:val="18"/>
        </w:rPr>
        <w:t>⚠️ u</w:t>
      </w:r>
    </w:p>
    <w:p>
      <w:r>
        <w:rPr>
          <w:i/>
          <w:color w:val="B03A2E"/>
          <w:sz w:val="18"/>
        </w:rPr>
        <w:t>⚠️ b</w:t>
      </w:r>
    </w:p>
    <w:p>
      <w:r>
        <w:rPr>
          <w:i/>
          <w:color w:val="B03A2E"/>
          <w:sz w:val="18"/>
        </w:rPr>
        <w:t>⚠️ g</w:t>
      </w:r>
    </w:p>
    <w:p>
      <w:r>
        <w:rPr>
          <w:i/>
          <w:color w:val="B03A2E"/>
          <w:sz w:val="18"/>
        </w:rPr>
        <w:t>⚠️ r</w:t>
      </w:r>
    </w:p>
    <w:p>
      <w:r>
        <w:rPr>
          <w:i/>
          <w:color w:val="B03A2E"/>
          <w:sz w:val="18"/>
        </w:rPr>
        <w:t>⚠️ u</w:t>
      </w:r>
    </w:p>
    <w:p>
      <w:r>
        <w:rPr>
          <w:i/>
          <w:color w:val="B03A2E"/>
          <w:sz w:val="18"/>
        </w:rPr>
        <w:t>⚠️ p</w:t>
      </w:r>
    </w:p>
    <w:p>
      <w:r>
        <w:rPr>
          <w:i/>
          <w:color w:val="B03A2E"/>
          <w:sz w:val="18"/>
        </w:rPr>
        <w:t>⚠️ o</w:t>
      </w:r>
    </w:p>
    <w:p>
      <w:r>
        <w:rPr>
          <w:i/>
          <w:color w:val="B03A2E"/>
          <w:sz w:val="18"/>
        </w:rPr>
        <w:t>⚠️ _</w:t>
      </w:r>
    </w:p>
    <w:p>
      <w:r>
        <w:rPr>
          <w:i/>
          <w:color w:val="B03A2E"/>
          <w:sz w:val="18"/>
        </w:rPr>
        <w:t>⚠️ m</w:t>
      </w:r>
    </w:p>
    <w:p>
      <w:r>
        <w:rPr>
          <w:i/>
          <w:color w:val="B03A2E"/>
          <w:sz w:val="18"/>
        </w:rPr>
        <w:t>⚠️ u</w:t>
      </w:r>
    </w:p>
    <w:p>
      <w:r>
        <w:rPr>
          <w:i/>
          <w:color w:val="B03A2E"/>
          <w:sz w:val="18"/>
        </w:rPr>
        <w:t>⚠️ n</w:t>
      </w:r>
    </w:p>
    <w:p>
      <w:r>
        <w:rPr>
          <w:i/>
          <w:color w:val="B03A2E"/>
          <w:sz w:val="18"/>
        </w:rPr>
        <w:t>⚠️ i</w:t>
      </w:r>
    </w:p>
    <w:p>
      <w:r>
        <w:rPr>
          <w:i/>
          <w:color w:val="B03A2E"/>
          <w:sz w:val="18"/>
        </w:rPr>
        <w:t>⚠️ c</w:t>
      </w:r>
    </w:p>
    <w:p>
      <w:r>
        <w:rPr>
          <w:i/>
          <w:color w:val="B03A2E"/>
          <w:sz w:val="18"/>
        </w:rPr>
        <w:t>⚠️ i</w:t>
      </w:r>
    </w:p>
    <w:p>
      <w:r>
        <w:rPr>
          <w:i/>
          <w:color w:val="B03A2E"/>
          <w:sz w:val="18"/>
        </w:rPr>
        <w:t>⚠️ p</w:t>
      </w:r>
    </w:p>
    <w:p>
      <w:r>
        <w:rPr>
          <w:i/>
          <w:color w:val="B03A2E"/>
          <w:sz w:val="18"/>
        </w:rPr>
        <w:t>⚠️ i</w:t>
      </w:r>
    </w:p>
    <w:p>
      <w:r>
        <w:rPr>
          <w:i/>
          <w:color w:val="B03A2E"/>
          <w:sz w:val="18"/>
        </w:rPr>
        <w:t>⚠️ o</w:t>
      </w:r>
    </w:p>
    <w:p>
      <w:r>
        <w:rPr>
          <w:i/>
          <w:color w:val="B03A2E"/>
          <w:sz w:val="18"/>
        </w:rPr>
        <w:t>⚠️ _</w:t>
      </w:r>
    </w:p>
    <w:p>
      <w:r>
        <w:rPr>
          <w:i/>
          <w:color w:val="B03A2E"/>
          <w:sz w:val="18"/>
        </w:rPr>
        <w:t>⚠️ a</w:t>
      </w:r>
    </w:p>
    <w:p>
      <w:r>
        <w:rPr>
          <w:i/>
          <w:color w:val="B03A2E"/>
          <w:sz w:val="18"/>
        </w:rPr>
        <w:t>⚠️ n</w:t>
      </w:r>
    </w:p>
    <w:p>
      <w:r>
        <w:rPr>
          <w:i/>
          <w:color w:val="B03A2E"/>
          <w:sz w:val="18"/>
        </w:rPr>
        <w:t>⚠️ o</w:t>
      </w:r>
    </w:p>
    <w:p>
      <w:r>
        <w:rPr>
          <w:i/>
          <w:color w:val="B03A2E"/>
          <w:sz w:val="18"/>
        </w:rPr>
        <w:t>⚠️ .</w:t>
      </w:r>
    </w:p>
    <w:p>
      <w:r>
        <w:rPr>
          <w:i/>
          <w:color w:val="B03A2E"/>
          <w:sz w:val="18"/>
        </w:rPr>
        <w:t>⚠️ c</w:t>
      </w:r>
    </w:p>
    <w:p>
      <w:r>
        <w:rPr>
          <w:i/>
          <w:color w:val="B03A2E"/>
          <w:sz w:val="18"/>
        </w:rPr>
        <w:t>⚠️ s</w:t>
      </w:r>
    </w:p>
    <w:p>
      <w:r>
        <w:rPr>
          <w:i/>
          <w:color w:val="B03A2E"/>
          <w:sz w:val="18"/>
        </w:rPr>
        <w:t>⚠️ v</w:t>
      </w:r>
    </w:p>
    <w:p>
      <w:r>
        <w:rPr>
          <w:i/>
          <w:color w:val="B03A2E"/>
          <w:sz w:val="18"/>
        </w:rPr>
        <w:t xml:space="preserve">⚠️  </w:t>
      </w:r>
    </w:p>
    <w:p>
      <w:r>
        <w:rPr>
          <w:i/>
          <w:color w:val="B03A2E"/>
          <w:sz w:val="18"/>
        </w:rPr>
        <w:t>⚠️ o</w:t>
      </w:r>
    </w:p>
    <w:p>
      <w:r>
        <w:rPr>
          <w:i/>
          <w:color w:val="B03A2E"/>
          <w:sz w:val="18"/>
        </w:rPr>
        <w:t xml:space="preserve">⚠️  </w:t>
      </w:r>
    </w:p>
    <w:p>
      <w:r>
        <w:rPr>
          <w:i/>
          <w:color w:val="B03A2E"/>
          <w:sz w:val="18"/>
        </w:rPr>
        <w:t>⚠️ v</w:t>
      </w:r>
    </w:p>
    <w:p>
      <w:r>
        <w:rPr>
          <w:i/>
          <w:color w:val="B03A2E"/>
          <w:sz w:val="18"/>
        </w:rPr>
        <w:t>⚠️ a</w:t>
      </w:r>
    </w:p>
    <w:p>
      <w:r>
        <w:rPr>
          <w:i/>
          <w:color w:val="B03A2E"/>
          <w:sz w:val="18"/>
        </w:rPr>
        <w:t>⚠️ l</w:t>
      </w:r>
    </w:p>
    <w:p>
      <w:r>
        <w:rPr>
          <w:i/>
          <w:color w:val="B03A2E"/>
          <w:sz w:val="18"/>
        </w:rPr>
        <w:t>⚠️ o</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é</w:t>
      </w:r>
    </w:p>
    <w:p>
      <w:r>
        <w:rPr>
          <w:i/>
          <w:color w:val="B03A2E"/>
          <w:sz w:val="18"/>
        </w:rPr>
        <w:t xml:space="preserve">⚠️  </w:t>
      </w:r>
    </w:p>
    <w:p>
      <w:r>
        <w:rPr>
          <w:i/>
          <w:color w:val="B03A2E"/>
          <w:sz w:val="18"/>
        </w:rPr>
        <w:t>⚠️ 2</w:t>
      </w:r>
    </w:p>
    <w:p>
      <w:r>
        <w:rPr>
          <w:i/>
          <w:color w:val="B03A2E"/>
          <w:sz w:val="18"/>
        </w:rPr>
        <w:t>⚠️ 0</w:t>
      </w:r>
    </w:p>
    <w:p>
      <w:r>
        <w:rPr>
          <w:i/>
          <w:color w:val="B03A2E"/>
          <w:sz w:val="18"/>
        </w:rPr>
        <w:t>⚠️ 4</w:t>
      </w:r>
    </w:p>
    <w:p>
      <w:r>
        <w:rPr>
          <w:i/>
          <w:color w:val="B03A2E"/>
          <w:sz w:val="18"/>
        </w:rPr>
        <w:t xml:space="preserve">⚠️  </w:t>
      </w:r>
    </w:p>
    <w:p>
      <w:r>
        <w:rPr>
          <w:i/>
          <w:color w:val="B03A2E"/>
          <w:sz w:val="18"/>
        </w:rPr>
        <w:t>⚠️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e</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Crianças de 0 a 5 anos no CadÚnico em relação à população do município  ⬜</w:t>
      </w:r>
    </w:p>
    <w:p>
      <w:bookmarkStart w:id="54" w:name="PrioridadesemsecundrioCrianasde0_d03433e5"/>
      <w:r>
        <w:t>Et praesent molestiae at aut sed corporis occaecat fames dolorem omnis asperiores incididunt ab vel esse quam rerum ipsum augue consequat illum nullam ipsum sapien praesent incididunt vel vitae lorem tristique aliquam pretium voluptate aut aut laboris veritatis adipisci corporis veniam nesciunt pede lorem nostrud justo in integer quasi nostrud malesuada donec posuere justo exercitation vitae saepe maiores justo vestibulum irure posuere vitae qui sed ea eget cupidatat magna rhoncus vitae eos ipsa mauris eget facere porro nonummy excepteur ipsum sed magni sit modi veniam fames quam ipsum error hic tincidunt justo fugit viverra maiores nostrum molestie earum laboriosam ea orci rem nesciunt incidunt fugiat anim repellendus quis laboris praesent temporibus voluptates sagittis turpis nesciunt in rerum qui fames nemo cras semper reprehenderit voluptatem dolore dolor lorem architecto scelerisque dolor voluptates fames fugit eleifend semper esse quisquam elit dignissim totam justo eleifend eget ea.</w:t>
      </w:r>
      <w:bookmarkEnd w:id="54"/>
    </w:p>
    <w:p>
      <w:pPr>
        <w:pStyle w:val="Heading2"/>
      </w:pPr>
      <w:r>
        <w:t>Crianças até 72 meses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3022549"/>
                    </a:xfrm>
                    <a:prstGeom prst="rect"/>
                  </pic:spPr>
                </pic:pic>
              </a:graphicData>
            </a:graphic>
          </wp:inline>
        </w:drawing>
      </w:r>
    </w:p>
    <w:p>
      <w:bookmarkStart w:id="55"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55"/>
    </w:p>
    <w:p>
      <w:pPr>
        <w:pStyle w:val="Heading3"/>
      </w:pPr>
      <w:r>
        <w:t>Mapa cadunico criancas bairro 2026  ⬜</w:t>
      </w:r>
    </w:p>
    <w:p>
      <w:r>
        <w:drawing>
          <wp:inline xmlns:a="http://schemas.openxmlformats.org/drawingml/2006/main" xmlns:pic="http://schemas.openxmlformats.org/drawingml/2006/picture">
            <wp:extent cx="5029200" cy="346511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465119"/>
                    </a:xfrm>
                    <a:prstGeom prst="rect"/>
                  </pic:spPr>
                </pic:pic>
              </a:graphicData>
            </a:graphic>
          </wp:inline>
        </w:drawing>
      </w:r>
    </w:p>
    <w:p>
      <w:bookmarkStart w:id="56"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w:t>
      </w:r>
      <w:bookmarkEnd w:id="56"/>
    </w:p>
    <w:p>
      <w:pPr>
        <w:pStyle w:val="Heading3"/>
      </w:pPr>
      <w:r>
        <w:t>Mapa cadunico criancas 0 a 4 bairro 2026  ✅</w:t>
      </w:r>
    </w:p>
    <w:p>
      <w:r>
        <w:drawing>
          <wp:inline xmlns:a="http://schemas.openxmlformats.org/drawingml/2006/main" xmlns:pic="http://schemas.openxmlformats.org/drawingml/2006/picture">
            <wp:extent cx="5029200" cy="3465119"/>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3465119"/>
                    </a:xfrm>
                    <a:prstGeom prst="rect"/>
                  </pic:spPr>
                </pic:pic>
              </a:graphicData>
            </a:graphic>
          </wp:inline>
        </w:drawing>
      </w:r>
    </w:p>
    <w:p>
      <w:bookmarkStart w:id="57"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57"/>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72 meses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7578"/>
                    </a:xfrm>
                    <a:prstGeom prst="rect"/>
                  </pic:spPr>
                </pic:pic>
              </a:graphicData>
            </a:graphic>
          </wp:inline>
        </w:drawing>
      </w:r>
    </w:p>
    <w:p>
      <w:bookmarkStart w:id="58"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58"/>
    </w:p>
    <w:p>
      <w:r>
        <w:rPr>
          <w:i/>
        </w:rPr>
        <w:t>Tabela de apoio: `cadunico_por_idade_2026.csv`, `cadunico_por_bairro_2026.csv`</w:t>
      </w:r>
    </w:p>
    <w:p>
      <w:pPr>
        <w:pStyle w:val="Heading2"/>
      </w:pPr>
      <w:r>
        <w:t>Famílias com crianças até 72 meses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59" w:name="cadunico_familias_por_faixa_renda"/>
      <w:r>
        <w:t>A partir do dado de famílias com crianças de 0 a 5 anos no CadÚnico é possível observar uma distribuição altamente assimétrica, tendo um predomínio absoluto de famílias com renda até R$218, a linha de pobreza do Bolsa Família,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59"/>
    </w:p>
    <w:p>
      <w:pPr>
        <w:pStyle w:val="Heading3"/>
      </w:pPr>
      <w:r>
        <w:t>Cadunico criancas por faixa renda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0"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w:t>
      </w:r>
      <w:bookmarkEnd w:id="60"/>
    </w:p>
    <w:p>
      <w:r>
        <w:rPr>
          <w:i/>
        </w:rPr>
        <w:t>Tabela de apoio: `cadunico_por_faixa_renda_2026.csv`</w:t>
      </w:r>
    </w:p>
    <w:p>
      <w:pPr>
        <w:pStyle w:val="Heading2"/>
      </w:pPr>
      <w:r>
        <w:t>Famílias no CadÚnico com crianças até 72 meses, por sexo  ⬜</w:t>
      </w:r>
    </w:p>
    <w:p>
      <w:pPr>
        <w:pStyle w:val="Heading3"/>
      </w:pPr>
      <w:r>
        <w:t>Cadunico criancas por sexo  ⬜</w:t>
      </w:r>
    </w:p>
    <w:p>
      <w:r>
        <w:drawing>
          <wp:inline xmlns:a="http://schemas.openxmlformats.org/drawingml/2006/main" xmlns:pic="http://schemas.openxmlformats.org/drawingml/2006/picture">
            <wp:extent cx="5029200" cy="302254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2549"/>
                    </a:xfrm>
                    <a:prstGeom prst="rect"/>
                  </pic:spPr>
                </pic:pic>
              </a:graphicData>
            </a:graphic>
          </wp:inline>
        </w:drawing>
      </w:r>
    </w:p>
    <w:p>
      <w:bookmarkStart w:id="61"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w:t>
      </w:r>
      <w:bookmarkEnd w:id="61"/>
    </w:p>
    <w:p>
      <w:pPr>
        <w:pStyle w:val="Heading3"/>
      </w:pPr>
      <w:r>
        <w:t>Cadunico familias por sexo criancas  ⬜</w:t>
      </w:r>
    </w:p>
    <w:p>
      <w:r>
        <w:drawing>
          <wp:inline xmlns:a="http://schemas.openxmlformats.org/drawingml/2006/main" xmlns:pic="http://schemas.openxmlformats.org/drawingml/2006/picture">
            <wp:extent cx="5029200" cy="302757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027578"/>
                    </a:xfrm>
                    <a:prstGeom prst="rect"/>
                  </pic:spPr>
                </pic:pic>
              </a:graphicData>
            </a:graphic>
          </wp:inline>
        </w:drawing>
      </w:r>
    </w:p>
    <w:p>
      <w:bookmarkStart w:id="62"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w:t>
      </w:r>
      <w:bookmarkEnd w:id="62"/>
    </w:p>
    <w:p>
      <w:r>
        <w:rPr>
          <w:i/>
        </w:rPr>
        <w:t>Tabela de apoio: `cadunico_por_sexo_2026.csv`, `tabela_mapa_cadunico_recortes_bairro_2026.csv`</w:t>
      </w:r>
    </w:p>
    <w:p>
      <w:pPr>
        <w:pStyle w:val="Heading2"/>
      </w:pPr>
      <w:r>
        <w:t>Famílias no CadÚnico com crianças até 72 meses, por raça/cor  ⬜</w:t>
      </w:r>
    </w:p>
    <w:p>
      <w:pPr>
        <w:pStyle w:val="Heading3"/>
      </w:pPr>
      <w:r>
        <w:t>Cadunico criancas por raca cor  ⬜</w:t>
      </w:r>
    </w:p>
    <w:p>
      <w:r>
        <w:drawing>
          <wp:inline xmlns:a="http://schemas.openxmlformats.org/drawingml/2006/main" xmlns:pic="http://schemas.openxmlformats.org/drawingml/2006/picture">
            <wp:extent cx="5029200" cy="3022549"/>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2549"/>
                    </a:xfrm>
                    <a:prstGeom prst="rect"/>
                  </pic:spPr>
                </pic:pic>
              </a:graphicData>
            </a:graphic>
          </wp:inline>
        </w:drawing>
      </w:r>
    </w:p>
    <w:p>
      <w:bookmarkStart w:id="63"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w:t>
      </w:r>
      <w:bookmarkEnd w:id="63"/>
    </w:p>
    <w:p>
      <w:pPr>
        <w:pStyle w:val="Heading3"/>
      </w:pPr>
      <w:r>
        <w:t>Cadunico familias por raca cor  ⬜</w:t>
      </w:r>
    </w:p>
    <w:p>
      <w:r>
        <w:drawing>
          <wp:inline xmlns:a="http://schemas.openxmlformats.org/drawingml/2006/main" xmlns:pic="http://schemas.openxmlformats.org/drawingml/2006/picture">
            <wp:extent cx="5029200" cy="3027578"/>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3027578"/>
                    </a:xfrm>
                    <a:prstGeom prst="rect"/>
                  </pic:spPr>
                </pic:pic>
              </a:graphicData>
            </a:graphic>
          </wp:inline>
        </w:drawing>
      </w:r>
    </w:p>
    <w:p>
      <w:bookmarkStart w:id="64"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w:t>
      </w:r>
      <w:bookmarkEnd w:id="64"/>
    </w:p>
    <w:p>
      <w:pPr>
        <w:pStyle w:val="Heading3"/>
      </w:pPr>
      <w:r>
        <w:t>Mapa percentual cadunico criancas negras bairro 2026  ⬜</w:t>
      </w:r>
    </w:p>
    <w:p>
      <w:r>
        <w:drawing>
          <wp:inline xmlns:a="http://schemas.openxmlformats.org/drawingml/2006/main" xmlns:pic="http://schemas.openxmlformats.org/drawingml/2006/picture">
            <wp:extent cx="5029200" cy="347014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470148"/>
                    </a:xfrm>
                    <a:prstGeom prst="rect"/>
                  </pic:spPr>
                </pic:pic>
              </a:graphicData>
            </a:graphic>
          </wp:inline>
        </w:drawing>
      </w:r>
    </w:p>
    <w:p>
      <w:bookmarkStart w:id="65"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w:t>
      </w:r>
      <w:bookmarkEnd w:id="65"/>
    </w:p>
    <w:p>
      <w:r>
        <w:rPr>
          <w:i/>
        </w:rPr>
        <w:t>Tabela de apoio: `cadunico_por_raca_cor_2026.csv`, `tabela_mapa_cadunico_recortes_bairro_2026.csv`</w:t>
      </w:r>
    </w:p>
    <w:p>
      <w:pPr>
        <w:pStyle w:val="Heading2"/>
      </w:pPr>
      <w:r>
        <w:t>Síntese do eixo — Prioridade  ⬜</w:t>
      </w:r>
    </w:p>
    <w:p>
      <w:bookmarkStart w:id="66"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w:t>
      </w:r>
      <w:bookmarkEnd w:id="66"/>
    </w:p>
    <w:p>
      <w:pPr>
        <w:pStyle w:val="Heading1"/>
      </w:pPr>
      <w:r>
        <w:t>🤝 Inclusão</w:t>
      </w:r>
    </w:p>
    <w:p>
      <w:pPr>
        <w:pStyle w:val="Heading2"/>
      </w:pPr>
      <w:r>
        <w:t>Principais achados — Inclusão  ⬜</w:t>
      </w:r>
    </w:p>
    <w:p>
      <w:r>
        <w:rPr>
          <w:i/>
        </w:rPr>
        <w:t>Uma frase por linha (Shift+Enter entre as frases).</w:t>
      </w:r>
    </w:p>
    <w:p>
      <w:bookmarkStart w:id="67"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67"/>
    </w:p>
    <w:p>
      <w:pPr>
        <w:pStyle w:val="Heading2"/>
      </w:pPr>
      <w:r>
        <w:t>Introdução do eixo — Inclusão  ⬜</w:t>
      </w:r>
    </w:p>
    <w:p>
      <w:bookmarkStart w:id="68" w:name="introducao_inclusao"/>
      <w:r>
        <w:t>Sagittis vivamus porta deserunt veritatis incididunt ex porttitor unde quisquam dapibus aliquip voluptatem earum aperiam vivamus quam non unde pede vulputate turpis delectus lorem ipsum laborum turpis est quasi vitae lorem et asperiores nullam consequuntur qui aliquet eiusmod elementum hendrerit suscipit occaecat porttitor iste eget natus etiam ratione ex voluptate inventore imperdiet consequuntur eos exercitation ut vulputate fringilla cubilia reiciendis consequatur doloribus officiis voluptatibus quis pariatur facere consequat sunt sint culpa eleifend vitae ullam ut eget nisi etiam aut nec laboris quam a saepe vestibulum eget tincidunt vitae ipsum eget.</w:t>
      </w:r>
      <w:bookmarkEnd w:id="68"/>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69"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w:t>
      </w:r>
      <w:bookmarkEnd w:id="69"/>
    </w:p>
    <w:p>
      <w:pPr>
        <w:pStyle w:val="Heading1"/>
      </w:pPr>
      <w:r>
        <w:t>👨‍👩‍👧 Família e Cuidados</w:t>
      </w:r>
    </w:p>
    <w:p>
      <w:pPr>
        <w:pStyle w:val="Heading2"/>
      </w:pPr>
      <w:r>
        <w:t>Principais achados — Família e Cuidados  ⬜</w:t>
      </w:r>
    </w:p>
    <w:p>
      <w:r>
        <w:rPr>
          <w:i/>
        </w:rPr>
        <w:t>Uma frase por linha (Shift+Enter entre as frases).</w:t>
      </w:r>
    </w:p>
    <w:p>
      <w:bookmarkStart w:id="70"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70"/>
    </w:p>
    <w:p>
      <w:pPr>
        <w:pStyle w:val="Heading2"/>
      </w:pPr>
      <w:r>
        <w:t>Introdução do eixo — Família e Cuidados  ⬜</w:t>
      </w:r>
    </w:p>
    <w:p>
      <w:bookmarkStart w:id="71" w:name="introducao_familia_e_cuidados"/>
      <w:r>
        <w:t>Error aliquam justo rerum doloremque dolor cubilia a dictum quam dolor eget pariatur donec quis perferendis tellus dapibus pede aliquid dolore lacus euismod ante eu autem consectetur reprehenderit amet fugiat eu turpis pede semper anim lectus nostrud nullam officia dolor rem duis aut nisi hendrerit eleifend voluptas voluptate pede aliquet anim sit arcu do ea lobortis rerum tincidunt ea vitae temporibus quam mollis necessitatibus occaecat mauris nostrum deserunt numquam unde ullamcorper turpis netus et quae vel aspernatur nostrud exercitation voluptas voluptatibus potenti dolor at consectetur nullam sapiente ipsam sapiente ab.</w:t>
      </w:r>
      <w:bookmarkEnd w:id="71"/>
    </w:p>
    <w:p>
      <w:pPr>
        <w:pStyle w:val="Heading2"/>
      </w:pPr>
      <w:r>
        <w:t>Crianças até 72 meses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7578"/>
                    </a:xfrm>
                    <a:prstGeom prst="rect"/>
                  </pic:spPr>
                </pic:pic>
              </a:graphicData>
            </a:graphic>
          </wp:inline>
        </w:drawing>
      </w:r>
    </w:p>
    <w:p>
      <w:bookmarkStart w:id="72"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w:t>
      </w:r>
      <w:bookmarkEnd w:id="72"/>
    </w:p>
    <w:p>
      <w:r>
        <w:rPr>
          <w:i/>
        </w:rPr>
        <w:t>Tabela de apoio: `sidra_frequencia_escola_0_5_total_2022.csv`</w:t>
      </w:r>
    </w:p>
    <w:p>
      <w:pPr>
        <w:pStyle w:val="Heading2"/>
      </w:pPr>
      <w:r>
        <w:t>Crianças até 72 meses frequentando escola/creche, por raça/cor  ✏️</w:t>
      </w:r>
    </w:p>
    <w:p>
      <w:pPr>
        <w:pStyle w:val="Heading3"/>
      </w:pPr>
      <w:r>
        <w:t>Sidra taxa frequencia 0 6 raca 2022  ✏️</w:t>
      </w:r>
    </w:p>
    <w:p>
      <w:r>
        <w:drawing>
          <wp:inline xmlns:a="http://schemas.openxmlformats.org/drawingml/2006/main" xmlns:pic="http://schemas.openxmlformats.org/drawingml/2006/picture">
            <wp:extent cx="5029200" cy="2937053"/>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937053"/>
                    </a:xfrm>
                    <a:prstGeom prst="rect"/>
                  </pic:spPr>
                </pic:pic>
              </a:graphicData>
            </a:graphic>
          </wp:inline>
        </w:drawing>
      </w:r>
    </w:p>
    <w:p>
      <w:bookmarkStart w:id="73" w:name="sidra_taxa_frequencia_0_6_raca_2022"/>
      <w:r>
        <w:t>A taxa de frequência escolar bruta aumenta conforme a idade, passando de 8,04% entre crianças de 0 ano para 90,57% aos 5 anos. No conjunto de 0 a 5 anos, a taxa foi de 59,30%, com diferenças entre os grupos de raça/cor: 62,26% entre crianças pretas, 59,10% entre pardas e 58,70% entre brancas. A comparação por idade permite analisar como a frequência escolar se modifica ao longo da primeira infância e como esse comportamento varia entre os grupos de raça/cor. Os dados podem ser relacionados ao número absoluto de crianças frequentando escola/creche para complementar a análise.</w:t>
      </w:r>
      <w:bookmarkEnd w:id="73"/>
    </w:p>
    <w:p>
      <w:r>
        <w:rPr>
          <w:i/>
        </w:rPr>
        <w:t>Tabela de apoio: `sidra_taxa_frequencia_0_6_raca_2022.csv`</w:t>
      </w:r>
    </w:p>
    <w:p>
      <w:pPr>
        <w:pStyle w:val="Heading2"/>
      </w:pPr>
      <w:r>
        <w:t>Crianças até 72 meses frequentando escola/creche, por sexo  ✏️</w:t>
      </w:r>
    </w:p>
    <w:p>
      <w:pPr>
        <w:pStyle w:val="Heading3"/>
      </w:pPr>
      <w:r>
        <w:t>Sidra taxa frequencia 0 6 sexo 2022  ✏️</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74" w:name="sidra_taxa_frequencia_0_6_sexo_2022"/>
      <w:r>
        <w:t>A taxa de frequência escolar bruta aumenta conforme a idade, passando de 8,04% aos 0 anos para 90,57% aos 5 anos. No conjunto de 0 a 5 anos, a taxa foi de 59,81% entre os meninos e 58,78% entre as meninas. A diferença entre os sexos varia ao longo das idades: aos 4 anos, a taxa foi de 82,51% entre meninos e 83,35% entre meninas, enquanto aos 5 anos foi de 91,56% entre meninos e 89,49% entre meninas. A comparação por idade e sexo permite analisar como a frequência escolar se modifica ao longo da primeira infância.</w:t>
      </w:r>
      <w:bookmarkEnd w:id="74"/>
    </w:p>
    <w:p>
      <w:r>
        <w:rPr>
          <w:i/>
        </w:rPr>
        <w:t>Tabela de apoio: `sidra_taxa_frequencia_0_6_sexo_2022.csv`</w:t>
      </w:r>
    </w:p>
    <w:p>
      <w:pPr>
        <w:pStyle w:val="Heading2"/>
      </w:pPr>
      <w:r>
        <w:t>Taxa bruta de frequência escolar da população até 72 meses  ✏️</w:t>
      </w:r>
    </w:p>
    <w:p>
      <w:pPr>
        <w:pStyle w:val="Heading3"/>
      </w:pPr>
      <w:r>
        <w:t>Sidra taxa frequencia 0 5 total 2022  ✏️</w:t>
      </w:r>
    </w:p>
    <w:p>
      <w:r>
        <w:drawing>
          <wp:inline xmlns:a="http://schemas.openxmlformats.org/drawingml/2006/main" xmlns:pic="http://schemas.openxmlformats.org/drawingml/2006/picture">
            <wp:extent cx="5029200" cy="3022549"/>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2549"/>
                    </a:xfrm>
                    <a:prstGeom prst="rect"/>
                  </pic:spPr>
                </pic:pic>
              </a:graphicData>
            </a:graphic>
          </wp:inline>
        </w:drawing>
      </w:r>
    </w:p>
    <w:p>
      <w:bookmarkStart w:id="75" w:name="sidra_taxa_frequencia_0_5_total_2022"/>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75"/>
    </w:p>
    <w:p>
      <w:r>
        <w:rPr>
          <w:i/>
        </w:rPr>
        <w:t>Tabela de apoio: `sidra_taxa_frequencia_0_5_total_2022.csv`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2519629"/>
                    </a:xfrm>
                    <a:prstGeom prst="rect"/>
                  </pic:spPr>
                </pic:pic>
              </a:graphicData>
            </a:graphic>
          </wp:inline>
        </w:drawing>
      </w:r>
    </w:p>
    <w:p>
      <w:bookmarkStart w:id="76"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w:t>
      </w:r>
      <w:bookmarkEnd w:id="76"/>
    </w:p>
    <w:p>
      <w:pPr>
        <w:pStyle w:val="Heading3"/>
      </w:pPr>
      <w:r>
        <w:t>Matriculas 0 a 5 creche pre por ano  ⬜</w:t>
      </w:r>
    </w:p>
    <w:p>
      <w:r>
        <w:drawing>
          <wp:inline xmlns:a="http://schemas.openxmlformats.org/drawingml/2006/main" xmlns:pic="http://schemas.openxmlformats.org/drawingml/2006/picture">
            <wp:extent cx="5029200" cy="2524658"/>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2524658"/>
                    </a:xfrm>
                    <a:prstGeom prst="rect"/>
                  </pic:spPr>
                </pic:pic>
              </a:graphicData>
            </a:graphic>
          </wp:inline>
        </w:drawing>
      </w:r>
    </w:p>
    <w:p>
      <w:bookmarkStart w:id="77"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w:t>
      </w:r>
      <w:bookmarkEnd w:id="77"/>
    </w:p>
    <w:p>
      <w:pPr>
        <w:pStyle w:val="Heading3"/>
      </w:pPr>
      <w:r>
        <w:t>Matriculas 0 a 5 rede por ano  ⬜</w:t>
      </w:r>
    </w:p>
    <w:p>
      <w:r>
        <w:drawing>
          <wp:inline xmlns:a="http://schemas.openxmlformats.org/drawingml/2006/main" xmlns:pic="http://schemas.openxmlformats.org/drawingml/2006/picture">
            <wp:extent cx="5029200" cy="252465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2524658"/>
                    </a:xfrm>
                    <a:prstGeom prst="rect"/>
                  </pic:spPr>
                </pic:pic>
              </a:graphicData>
            </a:graphic>
          </wp:inline>
        </w:drawing>
      </w:r>
    </w:p>
    <w:p>
      <w:bookmarkStart w:id="78"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w:t>
      </w:r>
      <w:bookmarkEnd w:id="78"/>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2524658"/>
                    </a:xfrm>
                    <a:prstGeom prst="rect"/>
                  </pic:spPr>
                </pic:pic>
              </a:graphicData>
            </a:graphic>
          </wp:inline>
        </w:drawing>
      </w:r>
    </w:p>
    <w:p>
      <w:bookmarkStart w:id="79"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w:t>
      </w:r>
      <w:bookmarkEnd w:id="79"/>
    </w:p>
    <w:p>
      <w:r>
        <w:rPr>
          <w:i/>
        </w:rPr>
        <w:t>Tabela de apoio: `matriculas_0_a_5_por_ano.csv`</w:t>
      </w:r>
    </w:p>
    <w:p>
      <w:pPr>
        <w:pStyle w:val="Heading2"/>
      </w:pPr>
      <w:r>
        <w:t>Cobertura vacinal de rotina em crianças até 2 anos  ✏️</w:t>
      </w:r>
    </w:p>
    <w:p>
      <w:pPr>
        <w:pStyle w:val="Heading3"/>
      </w:pPr>
      <w:r>
        <w:t>Cobertura vacinal epi ano  ✏️</w:t>
      </w:r>
    </w:p>
    <w:p>
      <w:r>
        <w:drawing>
          <wp:inline xmlns:a="http://schemas.openxmlformats.org/drawingml/2006/main" xmlns:pic="http://schemas.openxmlformats.org/drawingml/2006/picture">
            <wp:extent cx="5029200" cy="2519629"/>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19629"/>
                    </a:xfrm>
                    <a:prstGeom prst="rect"/>
                  </pic:spPr>
                </pic:pic>
              </a:graphicData>
            </a:graphic>
          </wp:inline>
        </w:drawing>
      </w:r>
    </w:p>
    <w:p>
      <w:bookmarkStart w:id="80"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80"/>
    </w:p>
    <w:p>
      <w:r>
        <w:rPr>
          <w:i/>
        </w:rPr>
        <w:t>Tabela de apoio: `cobertura_vacinal_epi_por_ano.csv`</w:t>
      </w:r>
    </w:p>
    <w:p>
      <w:pPr>
        <w:pStyle w:val="Heading2"/>
      </w:pPr>
      <w:r>
        <w:t>Famílias no CadÚnico com crianças até 72 meses,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27578"/>
                    </a:xfrm>
                    <a:prstGeom prst="rect"/>
                  </pic:spPr>
                </pic:pic>
              </a:graphicData>
            </a:graphic>
          </wp:inline>
        </w:drawing>
      </w:r>
    </w:p>
    <w:p>
      <w:bookmarkStart w:id="81"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w:t>
      </w:r>
      <w:bookmarkEnd w:id="81"/>
    </w:p>
    <w:p>
      <w:pPr>
        <w:pStyle w:val="Heading3"/>
      </w:pPr>
      <w:r>
        <w:t>Cadunico familias arranjo renda  ⬜</w:t>
      </w:r>
    </w:p>
    <w:p>
      <w:r>
        <w:drawing>
          <wp:inline xmlns:a="http://schemas.openxmlformats.org/drawingml/2006/main" xmlns:pic="http://schemas.openxmlformats.org/drawingml/2006/picture">
            <wp:extent cx="5029200" cy="2942082"/>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942082"/>
                    </a:xfrm>
                    <a:prstGeom prst="rect"/>
                  </pic:spPr>
                </pic:pic>
              </a:graphicData>
            </a:graphic>
          </wp:inline>
        </w:drawing>
      </w:r>
    </w:p>
    <w:p>
      <w:bookmarkStart w:id="82"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w:t>
      </w:r>
      <w:bookmarkEnd w:id="82"/>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3530498"/>
                    </a:xfrm>
                    <a:prstGeom prst="rect"/>
                  </pic:spPr>
                </pic:pic>
              </a:graphicData>
            </a:graphic>
          </wp:inline>
        </w:drawing>
      </w:r>
    </w:p>
    <w:p>
      <w:bookmarkStart w:id="83"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w:t>
      </w:r>
      <w:bookmarkEnd w:id="83"/>
    </w:p>
    <w:p>
      <w:r>
        <w:rPr>
          <w:i/>
        </w:rPr>
        <w:t>Tabela de apoio: `cadunico_familias_por_arranjo_2026.csv`, `cadunico_familias_arranjo_renda_2026.csv`, `tabela_mapa_cadunico_recortes_bairro_2026.csv`</w:t>
      </w:r>
    </w:p>
    <w:p>
      <w:pPr>
        <w:pStyle w:val="Heading2"/>
      </w:pPr>
      <w:r>
        <w:t>Síntese do eixo — Família e Cuidados  ⬜</w:t>
      </w:r>
    </w:p>
    <w:p>
      <w:bookmarkStart w:id="84"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w:t>
      </w:r>
      <w:bookmarkEnd w:id="84"/>
    </w:p>
    <w:p>
      <w:pPr>
        <w:pStyle w:val="Heading1"/>
      </w:pPr>
      <w:r>
        <w:t>🛡️ Proteção</w:t>
      </w:r>
    </w:p>
    <w:p>
      <w:pPr>
        <w:pStyle w:val="Heading2"/>
      </w:pPr>
      <w:r>
        <w:t>Principais achados — Proteção  ⬜</w:t>
      </w:r>
    </w:p>
    <w:p>
      <w:r>
        <w:rPr>
          <w:i/>
        </w:rPr>
        <w:t>Uma frase por linha (Shift+Enter entre as frases).</w:t>
      </w:r>
    </w:p>
    <w:p>
      <w:bookmarkStart w:id="85"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5"/>
    </w:p>
    <w:p>
      <w:pPr>
        <w:pStyle w:val="Heading2"/>
      </w:pPr>
      <w:r>
        <w:t>Introdução do eixo — Proteção  ⬜</w:t>
      </w:r>
    </w:p>
    <w:p>
      <w:bookmarkStart w:id="86" w:name="introducao_protecao"/>
      <w:r>
        <w:t>Porta donec eaque lorem pede ac nullam mauris eum autem excepteur mollis tristique turpis vestibulum posuere aliquam nesciunt felis quibusdam aliquet veniam consequatur dolore metus quia duis dolore ipsum totam aliquid voluptatibus repellendus dolor malesuada laudantium aperiam vitae nostrud incididunt veniam fames ligula eleifend nisi rerum porttitor vel aliquet in sagittis ut fames saepe fames cras praesent mollis qui rem ex rerum cupidatat do vitae voluptatibus temporibus ut porttitor tenetur accusantium lorem massa diam officia semper enim repellendus enim itaque et mauris dapibus esse mauris nullam dolore elit curabitur minim.</w:t>
      </w:r>
      <w:bookmarkEnd w:id="86"/>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w:t>
      </w:r>
      <w:bookmarkEnd w:id="87"/>
    </w:p>
    <w:p>
      <w:pPr>
        <w:pStyle w:val="Heading3"/>
      </w:pPr>
      <w:r>
        <w:t>Violencia familiar taxa municipio ano  ⬜</w:t>
      </w:r>
    </w:p>
    <w:p>
      <w:r>
        <w:drawing>
          <wp:inline xmlns:a="http://schemas.openxmlformats.org/drawingml/2006/main" xmlns:pic="http://schemas.openxmlformats.org/drawingml/2006/picture">
            <wp:extent cx="5029200" cy="2519629"/>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2519629"/>
                    </a:xfrm>
                    <a:prstGeom prst="rect"/>
                  </pic:spPr>
                </pic:pic>
              </a:graphicData>
            </a:graphic>
          </wp:inline>
        </w:drawing>
      </w:r>
    </w:p>
    <w:p>
      <w:bookmarkStart w:id="88"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w:t>
      </w:r>
      <w:bookmarkEnd w:id="88"/>
    </w:p>
    <w:p>
      <w:pPr>
        <w:pStyle w:val="Heading3"/>
      </w:pPr>
      <w:r>
        <w:t>Mapa violencia familiar mae taxa ra 2025  ⬜</w:t>
      </w:r>
    </w:p>
    <w:p>
      <w:r>
        <w:drawing>
          <wp:inline xmlns:a="http://schemas.openxmlformats.org/drawingml/2006/main" xmlns:pic="http://schemas.openxmlformats.org/drawingml/2006/picture">
            <wp:extent cx="5029200" cy="3445002"/>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45002"/>
                    </a:xfrm>
                    <a:prstGeom prst="rect"/>
                  </pic:spPr>
                </pic:pic>
              </a:graphicData>
            </a:graphic>
          </wp:inline>
        </w:drawing>
      </w:r>
    </w:p>
    <w:p>
      <w:bookmarkStart w:id="89"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w:t>
      </w:r>
      <w:bookmarkEnd w:id="89"/>
    </w:p>
    <w:p>
      <w:pPr>
        <w:pStyle w:val="Heading3"/>
      </w:pPr>
      <w:r>
        <w:t>Mapa violencia familiar pai taxa ra 2025  ⬜</w:t>
      </w:r>
    </w:p>
    <w:p>
      <w:r>
        <w:drawing>
          <wp:inline xmlns:a="http://schemas.openxmlformats.org/drawingml/2006/main" xmlns:pic="http://schemas.openxmlformats.org/drawingml/2006/picture">
            <wp:extent cx="5029200" cy="3445002"/>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45002"/>
                    </a:xfrm>
                    <a:prstGeom prst="rect"/>
                  </pic:spPr>
                </pic:pic>
              </a:graphicData>
            </a:graphic>
          </wp:inline>
        </w:drawing>
      </w:r>
    </w:p>
    <w:p>
      <w:bookmarkStart w:id="90"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w:t>
      </w:r>
      <w:bookmarkEnd w:id="90"/>
    </w:p>
    <w:p>
      <w:pPr>
        <w:pStyle w:val="Heading3"/>
      </w:pPr>
      <w:r>
        <w:t>Mapa violencia familiar outros taxa ra 2021 2025  ⬜</w:t>
      </w:r>
    </w:p>
    <w:p>
      <w:r>
        <w:drawing>
          <wp:inline xmlns:a="http://schemas.openxmlformats.org/drawingml/2006/main" xmlns:pic="http://schemas.openxmlformats.org/drawingml/2006/picture">
            <wp:extent cx="5029200" cy="3198571"/>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198571"/>
                    </a:xfrm>
                    <a:prstGeom prst="rect"/>
                  </pic:spPr>
                </pic:pic>
              </a:graphicData>
            </a:graphic>
          </wp:inline>
        </w:drawing>
      </w:r>
    </w:p>
    <w:p>
      <w:bookmarkStart w:id="91"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w:t>
      </w:r>
      <w:bookmarkEnd w:id="91"/>
    </w:p>
    <w:p>
      <w:r>
        <w:rPr>
          <w:i/>
        </w:rPr>
        <w:t>Tabela de apoio: `violencia_familiar_por_vinculo_ano.csv`, `violencia_familiar_taxa_municipio_ano.csv`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2519629"/>
                    </a:xfrm>
                    <a:prstGeom prst="rect"/>
                  </pic:spPr>
                </pic:pic>
              </a:graphicData>
            </a:graphic>
          </wp:inline>
        </w:drawing>
      </w:r>
    </w:p>
    <w:p>
      <w:bookmarkStart w:id="92"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w:t>
      </w:r>
      <w:bookmarkEnd w:id="92"/>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937053"/>
                    </a:xfrm>
                    <a:prstGeom prst="rect"/>
                  </pic:spPr>
                </pic:pic>
              </a:graphicData>
            </a:graphic>
          </wp:inline>
        </w:drawing>
      </w:r>
    </w:p>
    <w:p>
      <w:bookmarkStart w:id="93"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w:t>
      </w:r>
      <w:bookmarkEnd w:id="93"/>
    </w:p>
    <w:p>
      <w:pPr>
        <w:pStyle w:val="Heading3"/>
      </w:pPr>
      <w:r>
        <w:t>Violencia familiar taxa top bairros 2025  ⬜</w:t>
      </w:r>
    </w:p>
    <w:p>
      <w:r>
        <w:drawing>
          <wp:inline xmlns:a="http://schemas.openxmlformats.org/drawingml/2006/main" xmlns:pic="http://schemas.openxmlformats.org/drawingml/2006/picture">
            <wp:extent cx="5029200" cy="2942082"/>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942082"/>
                    </a:xfrm>
                    <a:prstGeom prst="rect"/>
                  </pic:spPr>
                </pic:pic>
              </a:graphicData>
            </a:graphic>
          </wp:inline>
        </w:drawing>
      </w:r>
    </w:p>
    <w:p>
      <w:bookmarkStart w:id="94"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w:t>
      </w:r>
      <w:bookmarkEnd w:id="94"/>
    </w:p>
    <w:p>
      <w:pPr>
        <w:pStyle w:val="Heading3"/>
      </w:pPr>
      <w:r>
        <w:t>Mapa violencia familiar mae bairro 2025  ⬜</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3439973"/>
                    </a:xfrm>
                    <a:prstGeom prst="rect"/>
                  </pic:spPr>
                </pic:pic>
              </a:graphicData>
            </a:graphic>
          </wp:inline>
        </w:drawing>
      </w:r>
    </w:p>
    <w:p>
      <w:bookmarkStart w:id="95"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w:t>
      </w:r>
      <w:bookmarkEnd w:id="95"/>
    </w:p>
    <w:p>
      <w:pPr>
        <w:pStyle w:val="Heading3"/>
      </w:pPr>
      <w:r>
        <w:t>Mapa violencia familiar pai bairro 2025  ⬜</w:t>
      </w:r>
    </w:p>
    <w:p>
      <w:r>
        <w:drawing>
          <wp:inline xmlns:a="http://schemas.openxmlformats.org/drawingml/2006/main" xmlns:pic="http://schemas.openxmlformats.org/drawingml/2006/picture">
            <wp:extent cx="5029200" cy="3439973"/>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39973"/>
                    </a:xfrm>
                    <a:prstGeom prst="rect"/>
                  </pic:spPr>
                </pic:pic>
              </a:graphicData>
            </a:graphic>
          </wp:inline>
        </w:drawing>
      </w:r>
    </w:p>
    <w:p>
      <w:bookmarkStart w:id="96"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w:t>
      </w:r>
      <w:bookmarkEnd w:id="96"/>
    </w:p>
    <w:p>
      <w:pPr>
        <w:pStyle w:val="Heading3"/>
      </w:pPr>
      <w:r>
        <w:t>Mapa violencia familiar outros bairro 2021 2025  ⬜</w:t>
      </w:r>
    </w:p>
    <w:p>
      <w:r>
        <w:drawing>
          <wp:inline xmlns:a="http://schemas.openxmlformats.org/drawingml/2006/main" xmlns:pic="http://schemas.openxmlformats.org/drawingml/2006/picture">
            <wp:extent cx="5029200" cy="3445002"/>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45002"/>
                    </a:xfrm>
                    <a:prstGeom prst="rect"/>
                  </pic:spPr>
                </pic:pic>
              </a:graphicData>
            </a:graphic>
          </wp:inline>
        </w:drawing>
      </w:r>
    </w:p>
    <w:p>
      <w:bookmarkStart w:id="97"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w:t>
      </w:r>
      <w:bookmarkEnd w:id="97"/>
    </w:p>
    <w:p>
      <w:r>
        <w:rPr>
          <w:i/>
        </w:rPr>
        <w:t>Tabela de apoio: `violencia_familiar_top_bairros_2025.csv`, `violencia_familiar_taxa_top_bairros_2025.csv`, `violencia_familiar_por_bairro.csv`, `violencia_familiar_taxa_por_bairro.csv`, `tabela_mapa_violencia_familiar_mae_2025.csv`, `tabela_mapa_violencia_familiar_pai_2025.csv`, `tabela_mapa_violencia_familiar_outros_2021_2025.csv`</w:t>
      </w:r>
    </w:p>
    <w:p>
      <w:pPr>
        <w:pStyle w:val="Heading2"/>
      </w:pPr>
      <w:r>
        <w:t>Violência familiar — por CAP  ⬜</w:t>
      </w:r>
    </w:p>
    <w:p>
      <w:bookmarkStart w:id="98"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w:t>
      </w:r>
      <w:bookmarkEnd w:id="98"/>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3027578"/>
                    </a:xfrm>
                    <a:prstGeom prst="rect"/>
                  </pic:spPr>
                </pic:pic>
              </a:graphicData>
            </a:graphic>
          </wp:inline>
        </w:drawing>
      </w:r>
    </w:p>
    <w:p>
      <w:bookmarkStart w:id="99"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w:t>
      </w:r>
      <w:bookmarkEnd w:id="99"/>
    </w:p>
    <w:p>
      <w:pPr>
        <w:pStyle w:val="Heading3"/>
      </w:pPr>
      <w:r>
        <w:t>Mapa notif autoprovocada bairro 2026  ⬜</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3439973"/>
                    </a:xfrm>
                    <a:prstGeom prst="rect"/>
                  </pic:spPr>
                </pic:pic>
              </a:graphicData>
            </a:graphic>
          </wp:inline>
        </w:drawing>
      </w:r>
    </w:p>
    <w:p>
      <w:bookmarkStart w:id="100"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w:t>
      </w:r>
      <w:bookmarkEnd w:id="100"/>
    </w:p>
    <w:p>
      <w:r>
        <w:rPr>
          <w:i/>
        </w:rPr>
        <w:t>Tabela de apoio: `notif_autoprovocada_por_bairro_ano.csv`, `tabela_mapa_notif_autoprovocada_2026.csv`</w:t>
      </w:r>
    </w:p>
    <w:p>
      <w:pPr>
        <w:pStyle w:val="Heading2"/>
      </w:pPr>
      <w:r>
        <w:t>Taxa de notificações de violência (todas as naturezas)  🚧</w:t>
      </w:r>
    </w:p>
    <w:p>
      <w:pPr>
        <w:pStyle w:val="IntenseQuote"/>
      </w:pPr>
      <w:r>
        <w:t>[PENDENTE] a planilha da equipe (2026-09-28) deixa este item sem visualização: as taxas de violência FAMILIAR (antes aqui) foram para "Violência familiar ... por vínculo" e "bairros com mais notificações". Fica pendente a taxa de notificações de violência em geral (não só familiar), que ainda não foi extraída (specs/2026-09-28_nova_estrutura §4)</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1"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w:t>
      </w:r>
      <w:bookmarkEnd w:id="101"/>
    </w:p>
    <w:p>
      <w:pPr>
        <w:pStyle w:val="Heading1"/>
      </w:pPr>
      <w:r>
        <w:t>🧸 Direito ao Brincar</w:t>
      </w:r>
    </w:p>
    <w:p>
      <w:pPr>
        <w:pStyle w:val="Heading2"/>
      </w:pPr>
      <w:r>
        <w:t>Principais achados — Direito ao Brincar  ⬜</w:t>
      </w:r>
    </w:p>
    <w:p>
      <w:r>
        <w:rPr>
          <w:i/>
        </w:rPr>
        <w:t>Uma frase por linha (Shift+Enter entre as frases).</w:t>
      </w:r>
    </w:p>
    <w:p>
      <w:bookmarkStart w:id="102" w:name="achados_direito_ao_brincar"/>
      <w:r>
        <w:t>Pede posuere necessitatibus magni tincidunt ut aliquid eget eu viverra suspendisse dolore.</w:t>
        <w:br/>
        <w:t>Explicabo nec repudiandae dui eget libero pede eos explicabo porta vitae accusantium.</w:t>
        <w:br/>
        <w:t>Lorem consequat quia culpa pretium felis cupidatat deserunt quis natus aliquet curabitur.</w:t>
        <w:br/>
        <w:t>Vivamus sapien incididunt exercitationem vel pellentesque amet commodo delectus libero perferendis molestiae.</w:t>
        <w:br/>
        <w:t>Pretium qui tenetur turpis facilisi fermentum nemo modi ligula enim curabitur consequat.</w:t>
      </w:r>
      <w:bookmarkEnd w:id="102"/>
    </w:p>
    <w:p>
      <w:pPr>
        <w:pStyle w:val="Heading2"/>
      </w:pPr>
      <w:r>
        <w:t>Introdução do eixo — Direito ao Brincar  ⬜</w:t>
      </w:r>
    </w:p>
    <w:p>
      <w:bookmarkStart w:id="103" w:name="introducao_direito_ao_brincar"/>
      <w:r>
        <w:t>Aliquid quaerat veritatis aliquam voluptatem mauris exercitation reprehenderit pharetra elit nec incididunt porro autem quaerat pariatur nemo senectus repudiandae dolores reprehenderit quasi consequatur veniam pretium potenti leo neque lobortis perferendis pellentesque in justo ante nonummy incididunt nonummy varius deserunt justo consectetur modi fringilla euismod asperiores suscipit esse sequi voluptas sagittis repellendus molestiae a cras fugiat condimentum cras irure aut fermentum dapibus reprehenderit pede omnis enim a consequat diam deserunt hic venenatis aenean ex proident lorem quisquam eu non eget adipisci et et illo ullam autem vivamus lectus inventore justo rerum.</w:t>
      </w:r>
      <w:bookmarkEnd w:id="103"/>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10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w:t>
      </w:r>
      <w:bookmarkEnd w:id="104"/>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39973"/>
                    </a:xfrm>
                    <a:prstGeom prst="rect"/>
                  </pic:spPr>
                </pic:pic>
              </a:graphicData>
            </a:graphic>
          </wp:inline>
        </w:drawing>
      </w:r>
    </w:p>
    <w:p>
      <w:bookmarkStart w:id="10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w:t>
      </w:r>
      <w:bookmarkEnd w:id="105"/>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10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w:t>
      </w:r>
      <w:bookmarkEnd w:id="106"/>
    </w:p>
    <w:p>
      <w:r>
        <w:rPr>
          <w:i/>
        </w:rPr>
        <w:t>Tabela de apoio: `tabela_mapa_violencia_territorial_ra_2024.csv`</w:t>
      </w:r>
    </w:p>
    <w:p>
      <w:pPr>
        <w:pStyle w:val="Heading2"/>
      </w:pPr>
      <w:r>
        <w:t>Síntese do eixo — Direito ao Brincar  ⬜</w:t>
      </w:r>
    </w:p>
    <w:p>
      <w:bookmarkStart w:id="107" w:name="sintese_direito_ao_brincar"/>
      <w:r>
        <w:t>Et a tristique eget eu consequuntur laborum eget netus numquam aliqua sunt maiores ab voluptatibus fames fames esse ea vestibulum aliquip quis incidunt leo excepteur nunc quis tristique mauris aliquid posuere aenean occaecat proin aut augue et quibusdam voluptate ea ipsum adipisci pariatur cubilia numquam integer enim semper aliquam fames fermentum mauris temporibus aliquet nunc explicabo dolor tellus aperiam commodi incidunt faucibus sint felis id quia nibh at arcu autem corporis nullam reprehenderit faucibus laboriosam pretium ullamcorper nihil consequatur ipsum justo malesuada nullam suspendisse eius felis laboris eos cubilia aperiam magnam venenatis vitae tincidunt lorem excepteur justo recusandae aut aut tristique reprehenderit ex dolores posuere aliquet sunt fermentum primis corporis egestas autem pariatur pretium.</w:t>
      </w:r>
      <w:bookmarkEnd w:id="107"/>
    </w:p>
    <w:p>
      <w:pPr>
        <w:pStyle w:val="Heading1"/>
      </w:pPr>
      <w:r>
        <w:t>🍽️ Alimentação</w:t>
      </w:r>
    </w:p>
    <w:p>
      <w:pPr>
        <w:pStyle w:val="Heading2"/>
      </w:pPr>
      <w:r>
        <w:t>Principais achados — Alimentação  ⬜</w:t>
      </w:r>
    </w:p>
    <w:p>
      <w:r>
        <w:rPr>
          <w:i/>
        </w:rPr>
        <w:t>Uma frase por linha (Shift+Enter entre as frases).</w:t>
      </w:r>
    </w:p>
    <w:p>
      <w:bookmarkStart w:id="108"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8"/>
    </w:p>
    <w:p>
      <w:pPr>
        <w:pStyle w:val="Heading2"/>
      </w:pPr>
      <w:r>
        <w:t>Introdução do eixo — Alimentação  ⬜</w:t>
      </w:r>
    </w:p>
    <w:p>
      <w:bookmarkStart w:id="109" w:name="introducao_alimentacao"/>
      <w:r>
        <w:t>Enim eveniet eleifend eos perferendis minima nonummy ab venenatis ea amet dictum euismod ac doloribus turpis vivamus leo nostrum porta pede enim iure aliquam alias ad quaerat egestas corporis amet velit modi veritatis culpa dolor tempor tenetur praesent iure vitae in turpis justo quasi perferendis rhoncus ut assumenda perspiciatis commodo eget nihil ullamcorper facere deserunt fugit excepteur totam dolor doloremque metus facere dicta aut officiis minim eaque quia enim turpis fugiat curabitur fringilla primis vitae dolor sed suscipit esse aspernatur ea ipsum illum ea vitae perspiciatis ea est sed eu.</w:t>
      </w:r>
      <w:bookmarkEnd w:id="109"/>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10"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10"/>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11"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11"/>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12"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12"/>
    </w:p>
    <w:p>
      <w:r>
        <w:rPr>
          <w:i/>
        </w:rPr>
        <w:t>Tabela de apoio: `nascidos_abaixo_peso_por_ano.csv`</w:t>
      </w:r>
    </w:p>
    <w:p>
      <w:pPr>
        <w:pStyle w:val="Heading2"/>
      </w:pPr>
      <w:r>
        <w:t>Desnutrição SISVAN (número)  ⬜</w:t>
      </w:r>
    </w:p>
    <w:p>
      <w:bookmarkStart w:id="113"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w:t>
      </w:r>
      <w:bookmarkEnd w:id="113"/>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14"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14"/>
    </w:p>
    <w:p>
      <w:r>
        <w:rPr>
          <w:i/>
        </w:rPr>
        <w:t>Tabela de apoio: `sisvan_desnutricao_por_ano.csv`</w:t>
      </w:r>
    </w:p>
    <w:p>
      <w:pPr>
        <w:pStyle w:val="Heading2"/>
      </w:pPr>
      <w:r>
        <w:t>Sobrepeso SISVAN (número)  ⬜</w:t>
      </w:r>
    </w:p>
    <w:p>
      <w:bookmarkStart w:id="115"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w:t>
      </w:r>
      <w:bookmarkEnd w:id="115"/>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16"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16"/>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7"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7"/>
    </w:p>
    <w:p>
      <w:r>
        <w:rPr>
          <w:i/>
        </w:rPr>
        <w:t>Tabela de apoio: `sisvan_sobrepeso_por_ano.csv`</w:t>
      </w:r>
    </w:p>
    <w:p>
      <w:pPr>
        <w:pStyle w:val="Heading2"/>
      </w:pPr>
      <w:r>
        <w:t>Síntese do eixo — Alimentação  ⬜</w:t>
      </w:r>
    </w:p>
    <w:p>
      <w:bookmarkStart w:id="118"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w:t>
      </w:r>
      <w:bookmarkEnd w:id="118"/>
    </w:p>
    <w:p>
      <w:pPr>
        <w:pStyle w:val="Heading1"/>
      </w:pPr>
      <w:r>
        <w:t>🏠 Moradia</w:t>
      </w:r>
    </w:p>
    <w:p>
      <w:pPr>
        <w:pStyle w:val="Heading2"/>
      </w:pPr>
      <w:r>
        <w:t>Principais achados — Moradia  ⬜</w:t>
      </w:r>
    </w:p>
    <w:p>
      <w:r>
        <w:rPr>
          <w:i/>
        </w:rPr>
        <w:t>Uma frase por linha (Shift+Enter entre as frases).</w:t>
      </w:r>
    </w:p>
    <w:p>
      <w:bookmarkStart w:id="119"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19"/>
    </w:p>
    <w:p>
      <w:pPr>
        <w:pStyle w:val="Heading2"/>
      </w:pPr>
      <w:r>
        <w:t>Introdução do eixo — Moradia  ⬜</w:t>
      </w:r>
    </w:p>
    <w:p>
      <w:bookmarkStart w:id="120" w:name="introducao_moradia"/>
      <w:r>
        <w:t>Veniam tincidunt ut totam dolores aut necessitatibus est esse fringilla quasi illo dolores enim vitae eiusmod et dolor mauris voluptates etiam ante officiis facere eget iure fermentum habitant ex aperiam dolor vitae magni adipiscing explicabo rerum do voluptatem praesent tellus repellendus donec aut debitis nec laborum quaerat morbi ante numquam morbi consequatur donec sed omnis malesuada eu egestas autem dictum ac quia ligula aperiam cubilia vestibulum dolor nisi consectetur quis a enim hendrerit officia netus unde dolore autem irure laboriosam molestie reprehenderit rhoncus tristique minim sit maiores fermentum iure doloribus.</w:t>
      </w:r>
      <w:bookmarkEnd w:id="120"/>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21"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w:t>
      </w:r>
      <w:bookmarkEnd w:id="121"/>
    </w:p>
    <w:p>
      <w:pPr>
        <w:pStyle w:val="Heading1"/>
      </w:pPr>
      <w:r>
        <w:t>Considerações finais  ✏️ ⚠️</w:t>
      </w:r>
    </w:p>
    <w:p>
      <w:bookmarkStart w:id="122" w:name="consideracoes_finais"/>
      <w:r>
        <w:t>A análise dos indicadores aqui trabalhados nos dá uma visão multidimensional da primeira infância na cidade do Rio de Janeiro. Ela mostra o que melhorou, mas também as desigualdades e os desafios que a prefeitura precisa acompanhar de perto. Fica claro que a situação das crianças não se resume a um único fator: saúde, renda, educação, alimentação, vacinas e o território onde moram estão todos interligados.</w:t>
        <w:br/>
        <w:t>Na saúde, vimos uma queda importante nas mortes infantis por causas evitáveis. Porém, muitas dessas mortes ainda estão ligadas à falta de cuidado adequado com a mulher durante a gravidez. Como a maioria acontece nos primeiros meses de vida do bebê, é fundamental melhorar a rede de apoio desde o pré-natal até o primeiro ano da criança, incluindo o momento do parto.</w:t>
        <w:br/>
        <w:t>Além disso, a realidade muda muito dependendo da região da cidade. As Zonas Norte e Oeste concentram mais famílias no Cadastro Único (CadÚnico), mais bebês nascendo com baixo peso e mais casos de mortalidade. Isso aponta as áreas onde a prefeitura precisa investigar mais a fundo as condições sociais e reforçar os serviços oferecidos à população.</w:t>
        <w:br/>
        <w:t>O CadÚnico reforça o peso da questão financeira. A grande concentração de famílias com crianças pequenas nas faixas de renda mais baixas mostra que o planejamento público deve considerar a multidimensionalidade da pobreza. É preciso unir ações de saúde, educação e assistência social, focando especialmente nessas áreas mais vulneráveis.</w:t>
        <w:br/>
        <w:t>Na educação, as crianças passam a ir mais à escola à medida que crescem, mas ainda há quem esteja fora da pré-escola, que tem a obrigatoriedade com força constitucional a partir dos 4 anos. O desafio aqui não é só olhar para a média da cidade, mas descobrir em quais bairros essas crianças estão e quais obstáculos as impedem de estudar.</w:t>
        <w:br/>
        <w:t>A vacinação é outro ponto de alerta. Depois de uma queda entre 2019 e 2022, as taxas começaram a subir em 2023. O problema é que essa melhora não foi igual para todas as vacinas, e ainda há atrasos nas doses de reforço. Já os dados de nutrição revelam duas faces do mesmo problema: a desnutrição persiste, ao mesmo tempo em que o sobrepeso e a obesidade infantil vêm crescendo. Isso exige um olhar mais amplo sobre a alimentação, que não trate o problema apenas como falta de comida ou apenas como excesso de peso, a segurança alimentar também considera a nutrição e qualidade dessa alimentação.</w:t>
        <w:br/>
        <w:t>Tudo isso mostra que os desafios da primeira infância no Rio são, simultaneamente, de saúde, educação, nutrição e moradia. Para dar conta, o poder público deve atuar de forma isolada e integrar o trabalho de suas diferentes secretarias e serviços.</w:t>
        <w:br/>
        <w:t>Ainda assim, é preciso olhar para os números com cautela. As informações vêm de bases de dados diferentes e não indicam necessária causalidade.  O grande valor desse diagnóstico é colocar uma lupa de forma integrada nas tendências e desigualdades do território no que diz respeito à primeira infância. Esse levantamento deve ajudar a prefeitura a planejar, agir e avaliar constantemente suas ações.</w:t>
      </w:r>
      <w:bookmarkEnd w:id="122"/>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p>
      <w:pPr>
        <w:pStyle w:val="Heading1"/>
      </w:pPr>
      <w:r>
        <w:t>Textos órfãos</w:t>
      </w:r>
    </w:p>
    <w:p>
      <w:r>
        <w:rPr>
          <w:b/>
        </w:rPr>
        <w:t>cobertura_vacinal_epi_comparativo_anos</w:t>
      </w:r>
    </w:p>
    <w:p>
      <w:bookmarkStart w:id="123"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123"/>
    </w:p>
    <w:p>
      <w:r>
        <w:rPr>
          <w:b/>
        </w:rPr>
        <w:t>mapa_mortalidade_infantil_bairro_2025</w:t>
      </w:r>
    </w:p>
    <w:p>
      <w:bookmarkStart w:id="124" w:name="mapa_mortalidade_infantil_bairro_2025"/>
      <w:r>
        <w:t>Em 2025, foram registrados 773 óbitos infantis nos bairros analisados. Santa Cruz concentrou 53 registros, seguida por Campo Grande, com 40, e Jacarepaguá, com 32. Em 28 dos 167 bairros não houve registro de óbitos. Como os números variam também conforme o tamanho da população de nascidos vivos, a comparação entre os bairros ganha contexto quando relacionada à respectiva taxa de mortalidade infantil.</w:t>
      </w:r>
      <w:bookmarkEnd w:id="124"/>
    </w:p>
    <w:p>
      <w:r>
        <w:rPr>
          <w:b/>
        </w:rPr>
        <w:t>mapa_obitos_gravidez_bairro_2025</w:t>
      </w:r>
    </w:p>
    <w:p>
      <w:bookmarkStart w:id="125"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25"/>
    </w:p>
    <w:p>
      <w:r>
        <w:rPr>
          <w:b/>
        </w:rPr>
        <w:t>mapa_obitos_neonatal_precoce_bairro_2025</w:t>
      </w:r>
    </w:p>
    <w:p>
      <w:bookmarkStart w:id="126"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26"/>
    </w:p>
    <w:p>
      <w:r>
        <w:rPr>
          <w:b/>
        </w:rPr>
        <w:t>mapa_obitos_neonatal_tardia_bairro_2025</w:t>
      </w:r>
    </w:p>
    <w:p>
      <w:bookmarkStart w:id="127"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27"/>
    </w:p>
    <w:p>
      <w:r>
        <w:rPr>
          <w:b/>
        </w:rPr>
        <w:t>mapa_obitos_pos_neonatal_bairro_2025</w:t>
      </w:r>
    </w:p>
    <w:p>
      <w:bookmarkStart w:id="128" w:name="mapa_obitos_pos_neonatal_bairro_2025"/>
      <w:r>
        <w:t>A distribuição territorial permite comparar a ocorrência dos óbitos pós-neonatais entre os bairros em 2025. Santa Cruz e Jacarepaguá registraram 13 óbitos cada, seguidos por Campo Grande, com 12, e Bangu, com 10. Em 63 dos 167 bairros analisados não foram registrados óbitos nesse período. Por se tratar de números absolutos, a distribuição pode ser analisada em conjunto com o número de nascidos vivos de cada bairro, permitindo relacionar os registros ao tamanho da população exposta. A comparação com a taxa de mortalidade pós-neonatal complementa essa leitura territorial.</w:t>
      </w:r>
      <w:bookmarkEnd w:id="128"/>
    </w:p>
    <w:p>
      <w:r>
        <w:rPr>
          <w:b/>
        </w:rPr>
        <w:t>mapa_obitos_puerperio_bairro_2025</w:t>
      </w:r>
    </w:p>
    <w:p>
      <w:bookmarkStart w:id="129"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129"/>
    </w:p>
    <w:p>
      <w:r>
        <w:rPr>
          <w:b/>
        </w:rPr>
        <w:t>mapa_obitos_raca_total_bairro_2025</w:t>
      </w:r>
    </w:p>
    <w:p>
      <w:bookmarkStart w:id="130"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130"/>
    </w:p>
    <w:p>
      <w:r>
        <w:rPr>
          <w:b/>
        </w:rPr>
        <w:t>mapa_taxa_mortalidade_infantil_b_8f9e6563</w:t>
      </w:r>
    </w:p>
    <w:p>
      <w:bookmarkStart w:id="131" w:name="mapa_taxa_mortalidade_infantil_b_8f9e6563"/>
      <w:r>
        <w:t>Em 2025, alguns bairros apresentaram taxas elevadas mesmo com poucos registros de óbitos. Em Cidade Nova, foram 2 óbitos entre 42 nascidos vivos, resultando em 47,62 óbitos por mil nascidos vivos. Em Camorim, 1 óbito entre 35 nascidos vivos correspondeu a 28,57 por mil, enquanto em Pitangueiras foram 2 óbitos entre 76 nascidos vivos, com taxa de 26,32 por mil. Esses exemplos mostram como o número de nascidos vivos influencia a taxa e reforçam a importância de analisá-la junto aos valores absolutos.</w:t>
      </w:r>
      <w:bookmarkEnd w:id="131"/>
    </w:p>
    <w:p>
      <w:r>
        <w:rPr>
          <w:b/>
        </w:rPr>
        <w:t>obitos_causas_evitaveis_raca_ano</w:t>
      </w:r>
    </w:p>
    <w:p>
      <w:bookmarkStart w:id="132" w:name="obitos_causas_evitaveis_raca_ano"/>
      <w:r>
        <w:t>A série permite acompanhar a distribuição dos óbitos por causas evitáveis segundo raça/cor ao longo do período. Os registros apresentam diferentes trajetórias entre os grupos, com redução dos óbitos entre crianças classificadas como brancas em relação aos primeiros anos da série e valores mais elevados entre crianças pardas nos anos mais recentes. Em 2025, foram registrados 374 óbitos entre pardas, 251 entre brancas e 53 entre pretas. A categoria “Não informada” chegou a 44 registros no mesmo ano. A comparação entre os grupos permite analisar mudanças na composição dos óbitos e sua trajetória ao longo do tempo.</w:t>
      </w:r>
      <w:bookmarkEnd w:id="132"/>
    </w:p>
    <w:p>
      <w:r>
        <w:rPr>
          <w:b/>
        </w:rPr>
        <w:t>obitos_causas_evitaveis_raca_sem_6d5c692c</w:t>
      </w:r>
    </w:p>
    <w:p>
      <w:bookmarkStart w:id="133" w:name="obitos_causas_evitaveis_raca_sem_6d5c692c"/>
      <w:r>
        <w:t>Entre 1997 e 2025, os registros apresentam trajetórias distintas entre os grupos de raça/cor. Entre crianças brancas, os óbitos passaram de 775 em 1997 para 251 em 2025, enquanto entre crianças pardas passaram de 486 para 374. No grupo preto, houve redução de 135 para 53 registros no mesmo período. Entre crianças indígenas, foram registrados 1 óbito em 1997 e 1 em 2025, enquanto entre crianças amarelas os registros passaram de 5 para nenhum no período. A comparação entre os grupos permite acompanhar as mudanças na distribuição dos óbitos ao longo da série.</w:t>
      </w:r>
      <w:bookmarkEnd w:id="133"/>
    </w:p>
    <w:p>
      <w:r>
        <w:rPr>
          <w:b/>
        </w:rPr>
        <w:t>percentual_mortalidade_causas_ev_ff12ac2e</w:t>
      </w:r>
    </w:p>
    <w:p>
      <w:bookmarkStart w:id="134" w:name="percentual_mortalidade_causas_ev_ff12ac2e"/>
      <w:r>
        <w:t>Entre 2011 e 2025, os percentuais dos grupos branca e parda variaram relativamente pouco, passando de 1,78% para 1,23% e de 1,99% para 1,35%, respectivamente. No grupo preta, o valor caiu de 1,46% em 2011 para 0,52% em 2025. Entre os indígenas, houve maior oscilação, de 0% em 2012 a 4,08% em 2016, chegando a 1,45% em 2025. A categoria “Não informada” apresentou as maiores variações, atingindo 10,69% em 2013 e 8,32% em 2025.</w:t>
      </w:r>
      <w:bookmarkEnd w:id="134"/>
    </w:p>
    <w:p>
      <w:r>
        <w:rPr>
          <w:b/>
        </w:rPr>
        <w:t>percentual_mortalidade_causas_ev_da6b4714</w:t>
      </w:r>
    </w:p>
    <w:p>
      <w:bookmarkStart w:id="135" w:name="percentual_mortalidade_causas_ev_da6b4714"/>
      <w:r>
        <w:t>Entre 2011 e 2025, os percentuais dos grupos branca e parda apresentaram valores próximos, passando de 1,78% para 1,23% e de 1,99% para 1,35%, respectivamente. No grupo preto, o percentual passou de 1,46% para 0,52%. Entre indígenas, houve maior oscilação, de 0% em vários anos a 4,08% em 2016, chegando a 1,45% em 2025. No grupo amarelo, os valores variaram de 0% a 1,04%, com 0% em 2025. A comparação permite analisar diferenças na relação entre óbitos evitáveis e nascidos vivos entre os grupos ao longo da série.</w:t>
      </w:r>
      <w:bookmarkEnd w:id="135"/>
    </w:p>
    <w:p>
      <w:r>
        <w:rPr>
          <w:b/>
        </w:rPr>
        <w:t>sidra_frequencia_escola_0_5_raca_2022</w:t>
      </w:r>
    </w:p>
    <w:p>
      <w:bookmarkStart w:id="136" w:name="sidra_frequencia_escola_0_5_raca_2022"/>
      <w:r>
        <w:t>Os dados do Censo Demográfico 2022 permitem analisar a frequência à escola/creche entre crianças de 0 a 5 anos, considerando idade e raça/cor. O número de crianças frequentando escola/creche aumenta conforme a idade, passando de 4.358 entre crianças de 0 ano para 66.163 aos 5 anos. No total do recorte, foram registradas 233.509 crianças, sendo 104.981 brancas, 96.352 pardas e 31.757 pretas. A organização dos dados por idade e raça/cor permite comparar a participação dos diferentes grupos ao longo da primeira infância e relacionar esse indicador a outros recortes educacionais e demográficos.</w:t>
      </w:r>
      <w:bookmarkEnd w:id="136"/>
    </w:p>
    <w:p>
      <w:r>
        <w:rPr>
          <w:b/>
        </w:rPr>
        <w:t>sidra_frequencia_escola_0_5_sexo_2022</w:t>
      </w:r>
    </w:p>
    <w:p>
      <w:bookmarkStart w:id="137" w:name="sidra_frequencia_escola_0_5_sexo_2022"/>
      <w:r>
        <w:t>Os dados do Censo Demográfico 2022 permitem analisar a frequência à escola/creche entre crianças de 0 a 5 anos segundo sexo e idade. O número de crianças frequentando aumenta ao longo das idades, passando de 4.358 aos 0 anos para 66.163 aos 5 anos. No total, foram registradas 120.304 crianças do sexo masculino e 113.205 do sexo feminino. A comparação por idade permite observar diferenças entre os sexos ao longo da primeira infância e relacionar esse recorte ao número total de crianças frequentando escola/creche. Os dados também podem ser analisados junto às taxas de frequência escolar por sexo.</w:t>
      </w:r>
      <w:bookmarkEnd w:id="137"/>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