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480" w:after="0"/>
        <w:rPr/>
      </w:pPr>
      <w:r>
        <w:rPr/>
        <w:t>Notice de la chaudière</w:t>
      </w:r>
    </w:p>
    <w:p>
      <w:pPr>
        <w:pStyle w:val="Normal"/>
        <w:rPr/>
      </w:pPr>
      <w:r>
        <w:rPr/>
        <w:t>Purger le circuit chaque automne.</w:t>
      </w:r>
    </w:p>
    <w:p>
      <w:pPr>
        <w:pStyle w:val="ListBullet"/>
        <w:numPr>
          <w:ilvl w:val="0"/>
          <w:numId w:val="2"/>
        </w:numPr>
        <w:spacing w:before="0" w:after="200"/>
        <w:contextualSpacing/>
        <w:rPr/>
      </w:pPr>
      <w:r>
        <w:rPr/>
        <w:t>Pression nominale 1,5 bar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star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DejaVu Sans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star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DejaVu Sans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star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14</Words>
  <Characters>71</Characters>
  <CharactersWithSpaces>81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